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2FC8EFA2" w:rsidR="008D616A" w:rsidRDefault="008D616A" w:rsidP="008D616A">
      <w:pPr>
        <w:pStyle w:val="CRCoverPage"/>
        <w:tabs>
          <w:tab w:val="right" w:pos="9639"/>
        </w:tabs>
        <w:spacing w:after="0"/>
        <w:rPr>
          <w:b/>
          <w:sz w:val="24"/>
          <w:szCs w:val="24"/>
        </w:rPr>
      </w:pPr>
      <w:bookmarkStart w:id="0" w:name="_Hlk177645036"/>
      <w:r w:rsidRPr="1A2B2371">
        <w:rPr>
          <w:b/>
          <w:sz w:val="24"/>
          <w:szCs w:val="24"/>
        </w:rPr>
        <w:t>3GPP TSG-RAN WG4 Meeting #116bis</w:t>
      </w:r>
      <w:r w:rsidR="04633A1B" w:rsidRPr="1A2B2371">
        <w:rPr>
          <w:b/>
          <w:bCs/>
          <w:noProof/>
          <w:sz w:val="24"/>
          <w:szCs w:val="24"/>
        </w:rPr>
        <w:t xml:space="preserve">                                   </w:t>
      </w:r>
      <w:r w:rsidRPr="1A2B2371">
        <w:rPr>
          <w:rFonts w:cs="Arial"/>
          <w:b/>
          <w:color w:val="808080" w:themeColor="background1" w:themeShade="80"/>
          <w:sz w:val="26"/>
          <w:szCs w:val="26"/>
        </w:rPr>
        <w:t>R4-</w:t>
      </w:r>
      <w:r w:rsidRPr="3A29FD30">
        <w:rPr>
          <w:rFonts w:cs="Arial"/>
          <w:b/>
          <w:bCs/>
          <w:color w:val="808080" w:themeColor="background1" w:themeShade="80"/>
          <w:sz w:val="26"/>
          <w:szCs w:val="26"/>
        </w:rPr>
        <w:t>25</w:t>
      </w:r>
      <w:r w:rsidR="6FA231AA" w:rsidRPr="3A29FD30">
        <w:rPr>
          <w:rFonts w:cs="Arial"/>
          <w:b/>
          <w:bCs/>
          <w:color w:val="808080" w:themeColor="background1" w:themeShade="80"/>
          <w:sz w:val="26"/>
          <w:szCs w:val="26"/>
        </w:rPr>
        <w:t>13022</w:t>
      </w:r>
    </w:p>
    <w:p w14:paraId="6B0CDAFA" w14:textId="75BE6C9E" w:rsidR="008D616A" w:rsidRPr="002209E4" w:rsidRDefault="008D616A" w:rsidP="008D616A">
      <w:pPr>
        <w:pStyle w:val="Header"/>
        <w:tabs>
          <w:tab w:val="right" w:pos="9781"/>
          <w:tab w:val="right" w:pos="13323"/>
        </w:tabs>
        <w:spacing w:before="60" w:after="60"/>
        <w:outlineLvl w:val="0"/>
        <w:rPr>
          <w:rFonts w:eastAsia="SimSun" w:cs="Arial"/>
          <w:b w:val="0"/>
          <w:sz w:val="24"/>
          <w:szCs w:val="24"/>
          <w:lang w:eastAsia="zh-CN"/>
        </w:rPr>
      </w:pPr>
      <w:r w:rsidRPr="008D616A">
        <w:rPr>
          <w:rFonts w:eastAsia="SimSun" w:cs="Arial"/>
          <w:sz w:val="24"/>
          <w:szCs w:val="24"/>
          <w:lang w:eastAsia="zh-CN"/>
        </w:rPr>
        <w:t>Prague, Czech Republic, October 13-17, 2025</w:t>
      </w:r>
      <w:r>
        <w:rPr>
          <w:rFonts w:cs="Arial"/>
          <w:sz w:val="24"/>
        </w:rPr>
        <w:br/>
      </w:r>
    </w:p>
    <w:p w14:paraId="288C4EB9" w14:textId="32860C60"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Pr>
          <w:rFonts w:ascii="Arial" w:hAnsi="Arial" w:cs="Arial"/>
          <w:b/>
        </w:rPr>
        <w:t xml:space="preserve">Qualcomm views on 6G </w:t>
      </w:r>
      <w:r w:rsidR="00D90965">
        <w:rPr>
          <w:rFonts w:ascii="Arial" w:hAnsi="Arial" w:cs="Arial"/>
          <w:b/>
        </w:rPr>
        <w:t>Spectrum</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05D5635D" w:rsidR="008D616A" w:rsidRDefault="008D616A" w:rsidP="008D616A">
      <w:pPr>
        <w:spacing w:after="60"/>
        <w:ind w:left="1985" w:hanging="1985"/>
        <w:rPr>
          <w:rFonts w:ascii="Arial" w:hAnsi="Arial" w:cs="Arial"/>
          <w:b/>
        </w:rPr>
      </w:pPr>
      <w:r w:rsidRPr="005E4466">
        <w:rPr>
          <w:rFonts w:ascii="Arial" w:hAnsi="Arial" w:cs="Arial"/>
          <w:b/>
        </w:rPr>
        <w:t>Agenda item:</w:t>
      </w:r>
      <w:r>
        <w:tab/>
      </w:r>
      <w:r w:rsidR="1C459220" w:rsidRPr="1A2B2371">
        <w:rPr>
          <w:rFonts w:ascii="Arial" w:hAnsi="Arial" w:cs="Arial"/>
          <w:b/>
          <w:bCs/>
        </w:rPr>
        <w:t>8.6</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3E9C27E8" w:rsidR="008D616A" w:rsidRDefault="001E7BE3" w:rsidP="008D616A">
      <w:pPr>
        <w:rPr>
          <w:lang w:eastAsia="en-US"/>
        </w:rPr>
      </w:pPr>
      <w:r>
        <w:rPr>
          <w:lang w:eastAsia="en-US"/>
        </w:rPr>
        <w:t xml:space="preserve">In this paper we discuss and propose </w:t>
      </w:r>
      <w:r w:rsidR="00F66618">
        <w:rPr>
          <w:lang w:eastAsia="en-US"/>
        </w:rPr>
        <w:t>6GR Spectrum issues</w:t>
      </w:r>
      <w:r w:rsidR="003B7F6D">
        <w:rPr>
          <w:lang w:eastAsia="en-US"/>
        </w:rPr>
        <w:t xml:space="preserve"> in accordance with the chair guidance in [3]</w:t>
      </w:r>
      <w:r w:rsidR="00F66618">
        <w:rPr>
          <w:lang w:eastAsia="en-US"/>
        </w:rPr>
        <w:t xml:space="preserve">. We discuss and provide input to regulatory survey, bands and band combinations work, </w:t>
      </w:r>
      <w:r w:rsidR="006C6C06">
        <w:rPr>
          <w:lang w:eastAsia="en-US"/>
        </w:rPr>
        <w:t xml:space="preserve">frequency ranges and irregular bandwidths. </w:t>
      </w:r>
    </w:p>
    <w:p w14:paraId="56F8633B" w14:textId="08C3C708" w:rsidR="008D616A" w:rsidRDefault="00A7413F" w:rsidP="008D616A">
      <w:pPr>
        <w:pStyle w:val="Heading1"/>
      </w:pPr>
      <w:r>
        <w:t>2.</w:t>
      </w:r>
      <w:r>
        <w:tab/>
      </w:r>
      <w:r w:rsidR="008D616A">
        <w:t>Discussion</w:t>
      </w:r>
    </w:p>
    <w:p w14:paraId="7A34360E" w14:textId="21E2C1EB" w:rsidR="00114076" w:rsidRPr="009464E9" w:rsidRDefault="009464E9" w:rsidP="009464E9">
      <w:pPr>
        <w:pStyle w:val="Heading2"/>
      </w:pPr>
      <w:r w:rsidRPr="009464E9">
        <w:t>2.1</w:t>
      </w:r>
      <w:r w:rsidR="00114076" w:rsidRPr="009464E9">
        <w:tab/>
        <w:t>Spectrum Regulatory Survey</w:t>
      </w:r>
      <w:r w:rsidR="00526537">
        <w:t xml:space="preserve"> for 6GR</w:t>
      </w:r>
    </w:p>
    <w:p w14:paraId="400AA980" w14:textId="77777777" w:rsidR="00114076" w:rsidRDefault="00114076" w:rsidP="00114076">
      <w:pPr>
        <w:rPr>
          <w:lang w:eastAsia="en-US"/>
        </w:rPr>
      </w:pPr>
      <w:r>
        <w:rPr>
          <w:lang w:eastAsia="en-US"/>
        </w:rPr>
        <w:t xml:space="preserve">In order to provide a comprehensive survey of recent and ongoing regulatory activities regarding spectrum for 6G, we will summarize three pillars, namely, 1) WRC-23 outcome regarding spectrum for </w:t>
      </w:r>
      <w:r w:rsidRPr="008E0371">
        <w:rPr>
          <w:lang w:eastAsia="en-US"/>
        </w:rPr>
        <w:t>International Mobile Telecommunications (IMT)</w:t>
      </w:r>
      <w:r>
        <w:rPr>
          <w:lang w:eastAsia="en-US"/>
        </w:rPr>
        <w:t>, 2) Ongoing WRC-27 work regarding IMT identification, and 3) Ongoing work on CEPT on upper 6GHz. In our view, it is still premature to derive conclusions on spectrum and its availability for 6G, but focusing on the above three pillars, it helps to understand future directions for 6G spectrum and its related components.</w:t>
      </w:r>
    </w:p>
    <w:p w14:paraId="74157B6C" w14:textId="77777777" w:rsidR="00114076" w:rsidRPr="008E0371" w:rsidRDefault="00114076" w:rsidP="00114076">
      <w:pPr>
        <w:rPr>
          <w:b/>
          <w:bCs/>
          <w:u w:val="single"/>
          <w:lang w:eastAsia="en-US"/>
        </w:rPr>
      </w:pPr>
      <w:r w:rsidRPr="008E0371">
        <w:rPr>
          <w:b/>
          <w:bCs/>
          <w:u w:val="single"/>
          <w:lang w:eastAsia="en-US"/>
        </w:rPr>
        <w:t xml:space="preserve">WRC-23 outcome </w:t>
      </w:r>
    </w:p>
    <w:p w14:paraId="772CDBF6" w14:textId="77777777" w:rsidR="00114076" w:rsidRDefault="00114076" w:rsidP="00114076">
      <w:pPr>
        <w:rPr>
          <w:lang w:eastAsia="en-US"/>
        </w:rPr>
      </w:pPr>
      <w:r>
        <w:rPr>
          <w:lang w:eastAsia="en-US"/>
        </w:rPr>
        <w:t xml:space="preserve">Among decisions in WRC-23, held in Abu Dhabi, </w:t>
      </w:r>
      <w:r w:rsidRPr="008E0371">
        <w:rPr>
          <w:lang w:eastAsia="en-US"/>
        </w:rPr>
        <w:t>WRC-23 identified spectrum for</w:t>
      </w:r>
      <w:r>
        <w:rPr>
          <w:lang w:eastAsia="en-US"/>
        </w:rPr>
        <w:t xml:space="preserve"> IMT</w:t>
      </w:r>
      <w:r w:rsidRPr="008E0371">
        <w:rPr>
          <w:lang w:eastAsia="en-US"/>
        </w:rPr>
        <w:t xml:space="preserve">, which will be crucial for expanding broadband connectivity and developing IMT mobile services. </w:t>
      </w:r>
      <w:r>
        <w:rPr>
          <w:lang w:eastAsia="en-US"/>
        </w:rPr>
        <w:t>Main WRC-23 decisions regarding spectrum for IMT identification can be summarized as follows:</w:t>
      </w:r>
    </w:p>
    <w:p w14:paraId="0EFF64C8" w14:textId="77777777" w:rsidR="00114076" w:rsidRPr="00E634D3" w:rsidRDefault="00114076" w:rsidP="00226ADF">
      <w:pPr>
        <w:pStyle w:val="B10"/>
        <w:numPr>
          <w:ilvl w:val="0"/>
          <w:numId w:val="38"/>
        </w:numPr>
      </w:pPr>
      <w:r w:rsidRPr="00E634D3">
        <w:t>Upper 6 GHz (6.425-7.125 GHz): IMT identification in region 1, with footnotes in region 2 and region 3 with technical conditions (i.e., EIRP mask to protect Fixed Satellite Services)</w:t>
      </w:r>
    </w:p>
    <w:p w14:paraId="76C9FC3C" w14:textId="77777777" w:rsidR="00114076" w:rsidRPr="00E634D3" w:rsidRDefault="00114076" w:rsidP="00226ADF">
      <w:pPr>
        <w:pStyle w:val="B10"/>
        <w:numPr>
          <w:ilvl w:val="0"/>
          <w:numId w:val="38"/>
        </w:numPr>
      </w:pPr>
      <w:r w:rsidRPr="00E634D3">
        <w:t>10-10.5 GHz: IMT identifications in some region 2 countries with technical conditions​</w:t>
      </w:r>
    </w:p>
    <w:p w14:paraId="3DDE70C0" w14:textId="4CEDBB3D" w:rsidR="00114076" w:rsidRPr="00226ADF" w:rsidRDefault="44B6CA07" w:rsidP="00226ADF">
      <w:pPr>
        <w:pStyle w:val="B10"/>
        <w:numPr>
          <w:ilvl w:val="0"/>
          <w:numId w:val="38"/>
        </w:numPr>
      </w:pPr>
      <w:r w:rsidRPr="00226ADF">
        <w:t>3.3-3.4 GHz: identified to IMT in several countries in region 1,</w:t>
      </w:r>
      <w:r w:rsidR="731DD1E3" w:rsidRPr="7C7AC667">
        <w:rPr>
          <w:lang w:val="en-US"/>
        </w:rPr>
        <w:t xml:space="preserve"> </w:t>
      </w:r>
      <w:r w:rsidRPr="00226ADF">
        <w:t>expanding its reach, identified to IMT in region 2​.</w:t>
      </w:r>
    </w:p>
    <w:p w14:paraId="19983F68" w14:textId="77777777" w:rsidR="00114076" w:rsidRPr="00E634D3" w:rsidRDefault="44B6CA07" w:rsidP="00226ADF">
      <w:pPr>
        <w:pStyle w:val="B10"/>
        <w:numPr>
          <w:ilvl w:val="0"/>
          <w:numId w:val="38"/>
        </w:numPr>
      </w:pPr>
      <w:r w:rsidRPr="00226ADF">
        <w:t>3.6-3.8 GHz: identified to IMT in region 2 with primary mobile allocation in 3.6-3.8 GHz in region 1 and IMT identification in3.6-3.8 GHz in the Middle East and Africa​</w:t>
      </w:r>
    </w:p>
    <w:p w14:paraId="00C54177" w14:textId="6A0B248E" w:rsidR="00114076" w:rsidRPr="00226ADF" w:rsidRDefault="44B6CA07" w:rsidP="00226ADF">
      <w:pPr>
        <w:pStyle w:val="B10"/>
        <w:numPr>
          <w:ilvl w:val="0"/>
          <w:numId w:val="38"/>
        </w:numPr>
      </w:pPr>
      <w:r w:rsidRPr="00226ADF">
        <w:t>UHF bands: 600 MHz band identified for IMT in Middle East with secondary mobile allocation in Europe in 470-694 MHz and secondary mobile allocation in some African countries in</w:t>
      </w:r>
      <w:r w:rsidR="342E4CF5" w:rsidRPr="00226ADF">
        <w:t xml:space="preserve"> </w:t>
      </w:r>
      <w:r w:rsidRPr="00226ADF">
        <w:t>614-694 MHz​.</w:t>
      </w:r>
    </w:p>
    <w:p w14:paraId="2A6D2D0D" w14:textId="77777777" w:rsidR="00114076" w:rsidRPr="00226ADF" w:rsidRDefault="00114076" w:rsidP="00114076">
      <w:pPr>
        <w:rPr>
          <w:b/>
          <w:u w:val="single"/>
          <w:lang w:eastAsia="en-US"/>
        </w:rPr>
      </w:pPr>
      <w:r w:rsidRPr="00226ADF">
        <w:rPr>
          <w:b/>
          <w:u w:val="single"/>
          <w:lang w:eastAsia="en-US"/>
        </w:rPr>
        <w:t>WRC-27 Studies</w:t>
      </w:r>
    </w:p>
    <w:p w14:paraId="396615C1" w14:textId="2D6F4DD9" w:rsidR="00114076" w:rsidRDefault="00114076" w:rsidP="00114076">
      <w:pPr>
        <w:rPr>
          <w:lang w:eastAsia="en-US"/>
        </w:rPr>
      </w:pPr>
      <w:r>
        <w:rPr>
          <w:lang w:eastAsia="ja-JP"/>
        </w:rPr>
        <w:lastRenderedPageBreak/>
        <w:t xml:space="preserve">WRC-23 agreed a WRC-27 agenda item 1.7 related to IMT, where </w:t>
      </w:r>
      <w:r w:rsidRPr="00B150D0">
        <w:rPr>
          <w:lang w:eastAsia="en-US"/>
        </w:rPr>
        <w:t xml:space="preserve">ITU-R is conducting preparatory </w:t>
      </w:r>
      <w:r>
        <w:rPr>
          <w:lang w:eastAsia="en-US"/>
        </w:rPr>
        <w:t>s</w:t>
      </w:r>
      <w:r w:rsidRPr="00B150D0">
        <w:rPr>
          <w:lang w:eastAsia="en-US"/>
        </w:rPr>
        <w:t xml:space="preserve">tudies </w:t>
      </w:r>
      <w:r>
        <w:rPr>
          <w:lang w:eastAsia="en-US"/>
        </w:rPr>
        <w:t xml:space="preserve">with the main objective to study the </w:t>
      </w:r>
      <w:r w:rsidRPr="00FD5597">
        <w:rPr>
          <w:lang w:eastAsia="en-US"/>
        </w:rPr>
        <w:t xml:space="preserve">sharing and compatibility and develop technical conditions for the use of IMT in </w:t>
      </w:r>
      <w:r>
        <w:rPr>
          <w:lang w:eastAsia="en-US"/>
        </w:rPr>
        <w:t xml:space="preserve">the following three frequency ranges, </w:t>
      </w:r>
      <w:r w:rsidRPr="00104D73">
        <w:rPr>
          <w:lang w:eastAsia="en-US"/>
        </w:rPr>
        <w:t>4 400-4 800 MHz</w:t>
      </w:r>
      <w:r>
        <w:rPr>
          <w:lang w:eastAsia="en-US"/>
        </w:rPr>
        <w:t xml:space="preserve">, </w:t>
      </w:r>
      <w:r w:rsidRPr="00104D73">
        <w:rPr>
          <w:lang w:eastAsia="en-US"/>
        </w:rPr>
        <w:t>7 125-8 400 MHz</w:t>
      </w:r>
      <w:r>
        <w:rPr>
          <w:lang w:eastAsia="en-US"/>
        </w:rPr>
        <w:t xml:space="preserve">, and </w:t>
      </w:r>
      <w:r w:rsidRPr="00104D73">
        <w:rPr>
          <w:lang w:eastAsia="en-US"/>
        </w:rPr>
        <w:t>14.8-15.35 GHz.</w:t>
      </w:r>
      <w:r>
        <w:rPr>
          <w:lang w:eastAsia="en-US"/>
        </w:rPr>
        <w:t xml:space="preserve"> RAN4 has already in Rel-19 study item (</w:t>
      </w:r>
      <w:r w:rsidRPr="00A16DE4">
        <w:rPr>
          <w:lang w:eastAsia="en-US"/>
        </w:rPr>
        <w:t>FS_NR_IMT_4400_7125_14800MHz</w:t>
      </w:r>
      <w:r>
        <w:rPr>
          <w:lang w:eastAsia="en-US"/>
        </w:rPr>
        <w:t xml:space="preserve">) provided its response on the technical parameters (i.e., RF parameters and AAS modelling). The output of RAN4 has been documented in TR 38.922. In the meantime, work is ongoing in ITU-R (specifically Working Party 5D) to study the sharing of IMT services with other services in the abovementioned frequency ranges. The outcome of this agenda along with other IMT-related decisions will be decided in WRC-27. </w:t>
      </w:r>
    </w:p>
    <w:p w14:paraId="1C5D5DC7" w14:textId="77777777" w:rsidR="00114076" w:rsidRDefault="00114076" w:rsidP="00114076">
      <w:pPr>
        <w:rPr>
          <w:b/>
          <w:bCs/>
          <w:u w:val="single"/>
          <w:lang w:eastAsia="en-US"/>
        </w:rPr>
      </w:pPr>
      <w:r w:rsidRPr="000A2561">
        <w:rPr>
          <w:b/>
          <w:bCs/>
          <w:u w:val="single"/>
          <w:lang w:eastAsia="en-US"/>
        </w:rPr>
        <w:t>CEPT work on upper 6GHz</w:t>
      </w:r>
    </w:p>
    <w:p w14:paraId="55AE3FDA" w14:textId="2C218034" w:rsidR="00260A12" w:rsidRDefault="00114076" w:rsidP="00114076">
      <w:pPr>
        <w:rPr>
          <w:lang w:eastAsia="en-US"/>
        </w:rPr>
      </w:pPr>
      <w:r>
        <w:rPr>
          <w:lang w:eastAsia="en-US"/>
        </w:rPr>
        <w:t xml:space="preserve">Based on the outcome of WRC-23 regarding upper 6GHz, </w:t>
      </w:r>
      <w:r w:rsidR="00297DA5">
        <w:rPr>
          <w:lang w:eastAsia="en-US"/>
        </w:rPr>
        <w:t xml:space="preserve">the European Commission issued a mandated </w:t>
      </w:r>
      <w:r w:rsidR="006B1B00">
        <w:rPr>
          <w:lang w:eastAsia="en-US"/>
        </w:rPr>
        <w:t>“</w:t>
      </w:r>
      <w:r w:rsidR="00297DA5">
        <w:rPr>
          <w:lang w:eastAsia="en-US"/>
        </w:rPr>
        <w:t xml:space="preserve">to </w:t>
      </w:r>
      <w:r w:rsidR="006B1B00">
        <w:rPr>
          <w:lang w:eastAsia="en-US"/>
        </w:rPr>
        <w:t xml:space="preserve">study feasibility of </w:t>
      </w:r>
      <w:r w:rsidR="000D4980">
        <w:rPr>
          <w:lang w:eastAsia="en-US"/>
        </w:rPr>
        <w:t>and develop least restrictive harmonized technical conditions</w:t>
      </w:r>
      <w:r w:rsidR="000A3EBF">
        <w:rPr>
          <w:lang w:eastAsia="en-US"/>
        </w:rPr>
        <w:t xml:space="preserve">” </w:t>
      </w:r>
      <w:r w:rsidR="000D4980">
        <w:rPr>
          <w:lang w:eastAsia="en-US"/>
        </w:rPr>
        <w:t xml:space="preserve">for </w:t>
      </w:r>
      <w:r w:rsidR="007876BA">
        <w:rPr>
          <w:lang w:eastAsia="en-US"/>
        </w:rPr>
        <w:t>the 6425-7125 MHz frequency band”.</w:t>
      </w:r>
      <w:r w:rsidR="00FA13CC">
        <w:rPr>
          <w:lang w:eastAsia="en-US"/>
        </w:rPr>
        <w:t xml:space="preserve"> The harmonization of th</w:t>
      </w:r>
      <w:r w:rsidR="00EC35C2">
        <w:rPr>
          <w:lang w:eastAsia="en-US"/>
        </w:rPr>
        <w:t xml:space="preserve">is band is supposed to be finalized by </w:t>
      </w:r>
      <w:r w:rsidR="001B7AB1">
        <w:rPr>
          <w:lang w:eastAsia="en-US"/>
        </w:rPr>
        <w:t xml:space="preserve">July </w:t>
      </w:r>
      <w:r w:rsidR="000C7650">
        <w:rPr>
          <w:lang w:eastAsia="en-US"/>
        </w:rPr>
        <w:t xml:space="preserve">2027. </w:t>
      </w:r>
      <w:r>
        <w:rPr>
          <w:lang w:eastAsia="en-US"/>
        </w:rPr>
        <w:t xml:space="preserve"> </w:t>
      </w:r>
    </w:p>
    <w:p w14:paraId="73360394" w14:textId="54CC4EA0" w:rsidR="00114076" w:rsidRPr="00004F42" w:rsidRDefault="00114076" w:rsidP="00226ADF">
      <w:r w:rsidRPr="003027B0">
        <w:rPr>
          <w:b/>
        </w:rPr>
        <w:t>Observation</w:t>
      </w:r>
      <w:r w:rsidR="009464E9">
        <w:rPr>
          <w:b/>
        </w:rPr>
        <w:t xml:space="preserve"> 2.1-1</w:t>
      </w:r>
      <w:r w:rsidRPr="003027B0">
        <w:rPr>
          <w:b/>
        </w:rPr>
        <w:t xml:space="preserve">: </w:t>
      </w:r>
      <w:r w:rsidR="00260A12">
        <w:rPr>
          <w:b/>
          <w:bCs/>
        </w:rPr>
        <w:t xml:space="preserve">There are several target candidate bands for 6G, including the upper 6 GHz and the WRC-27 bands currently investigated at ITU-R (i.e. </w:t>
      </w:r>
      <w:r w:rsidR="00260A12" w:rsidRPr="00735B4C">
        <w:rPr>
          <w:b/>
          <w:bCs/>
        </w:rPr>
        <w:t>4 400-4 800 MHz, 7 125-8 400 MHz, and 14.8-15.35 GHz</w:t>
      </w:r>
      <w:r w:rsidR="00260A12">
        <w:rPr>
          <w:b/>
          <w:bCs/>
        </w:rPr>
        <w:t>). The regulatory discussions for some of these bands are still ongoing.</w:t>
      </w:r>
    </w:p>
    <w:p w14:paraId="06027449" w14:textId="3AD7BFC2" w:rsidR="00BB4EF9" w:rsidRDefault="009464E9" w:rsidP="00A60252">
      <w:pPr>
        <w:pStyle w:val="Heading2"/>
      </w:pPr>
      <w:r>
        <w:t>2.</w:t>
      </w:r>
      <w:r w:rsidR="003027B0">
        <w:t>2</w:t>
      </w:r>
      <w:r w:rsidR="00A60252">
        <w:tab/>
        <w:t>Band</w:t>
      </w:r>
      <w:r w:rsidR="00BC7D26">
        <w:t>/Band combination</w:t>
      </w:r>
      <w:r w:rsidR="00A60252">
        <w:t xml:space="preserve"> definition</w:t>
      </w:r>
      <w:r w:rsidR="00C76516">
        <w:t xml:space="preserve"> </w:t>
      </w:r>
    </w:p>
    <w:p w14:paraId="1E4394E4" w14:textId="3E635132" w:rsidR="00321A55" w:rsidRDefault="003027B0" w:rsidP="00321A55">
      <w:pPr>
        <w:pStyle w:val="Heading3"/>
      </w:pPr>
      <w:r>
        <w:t>2</w:t>
      </w:r>
      <w:r w:rsidR="00321A55">
        <w:t>.</w:t>
      </w:r>
      <w:r w:rsidR="009464E9">
        <w:t>2.1</w:t>
      </w:r>
      <w:r w:rsidR="00321A55">
        <w:t xml:space="preserve"> </w:t>
      </w:r>
      <w:r w:rsidR="00FF12AC">
        <w:tab/>
      </w:r>
      <w:r w:rsidR="00321A55">
        <w:t>Bands</w:t>
      </w:r>
      <w:r w:rsidR="00526537">
        <w:t xml:space="preserve"> for 6GR</w:t>
      </w:r>
    </w:p>
    <w:p w14:paraId="74721DD5" w14:textId="39E303BD" w:rsidR="00243E42" w:rsidRDefault="00D62B3C" w:rsidP="00B23507">
      <w:r>
        <w:t>In 4G to 5G</w:t>
      </w:r>
      <w:r w:rsidR="0069141B">
        <w:t xml:space="preserve"> shift, the new bands n77/n78 and n79 were essentially new frequency ranges</w:t>
      </w:r>
      <w:r w:rsidR="00842DED">
        <w:t xml:space="preserve"> </w:t>
      </w:r>
      <w:r w:rsidR="00980D7A">
        <w:t xml:space="preserve">for FR1 </w:t>
      </w:r>
      <w:r w:rsidR="00FD6E4E">
        <w:t>thus</w:t>
      </w:r>
      <w:r w:rsidR="00842DED">
        <w:t xml:space="preserve"> </w:t>
      </w:r>
      <w:r w:rsidR="005A0A9C">
        <w:t xml:space="preserve">the band definition and RF requirement framework </w:t>
      </w:r>
      <w:r w:rsidR="00FF05D8">
        <w:t xml:space="preserve">received </w:t>
      </w:r>
      <w:r w:rsidR="00842DED">
        <w:t>a lot of atten</w:t>
      </w:r>
      <w:r w:rsidR="00CE2C84">
        <w:t xml:space="preserve">tion during 5G SI. </w:t>
      </w:r>
      <w:r w:rsidR="00455CEB">
        <w:t xml:space="preserve">The same attention must be </w:t>
      </w:r>
      <w:r w:rsidR="0047219A">
        <w:t>give</w:t>
      </w:r>
      <w:r w:rsidR="00207A08">
        <w:t>n</w:t>
      </w:r>
      <w:r w:rsidR="00F2414A">
        <w:t xml:space="preserve"> for the</w:t>
      </w:r>
      <w:r w:rsidR="00B676E2">
        <w:t xml:space="preserve"> stu</w:t>
      </w:r>
      <w:r w:rsidR="00461119">
        <w:t>dy</w:t>
      </w:r>
      <w:r w:rsidR="0031661B">
        <w:t xml:space="preserve"> </w:t>
      </w:r>
      <w:r w:rsidR="002C7D49">
        <w:t xml:space="preserve">for </w:t>
      </w:r>
      <w:r w:rsidR="0031661B">
        <w:t>6G bands operating at new frequencies</w:t>
      </w:r>
      <w:r w:rsidR="00B075A3">
        <w:t xml:space="preserve"> </w:t>
      </w:r>
      <w:r w:rsidR="00C95387">
        <w:t xml:space="preserve">when regulatory </w:t>
      </w:r>
      <w:r w:rsidR="007C68C9">
        <w:t>status permits.</w:t>
      </w:r>
      <w:r w:rsidR="0031661B">
        <w:t xml:space="preserve"> </w:t>
      </w:r>
      <w:r w:rsidR="00455CEB">
        <w:t xml:space="preserve"> </w:t>
      </w:r>
    </w:p>
    <w:p w14:paraId="1A37D57B" w14:textId="0B67CE74" w:rsidR="00EC1CE1" w:rsidRDefault="0031661B" w:rsidP="00B23507">
      <w:r>
        <w:t xml:space="preserve">We </w:t>
      </w:r>
      <w:r w:rsidR="00FD2AFF">
        <w:t>estimate that eventually most 5G bands will be specified as 6G bands</w:t>
      </w:r>
      <w:r w:rsidR="002E4C67">
        <w:t xml:space="preserve"> since</w:t>
      </w:r>
      <w:r w:rsidR="0071243C">
        <w:t xml:space="preserve"> same happened in 5G where most 4G bands were specified as 5G bands.</w:t>
      </w:r>
      <w:r w:rsidR="007C68C9">
        <w:t xml:space="preserve"> </w:t>
      </w:r>
      <w:r w:rsidR="00022D4F">
        <w:t xml:space="preserve">The group should </w:t>
      </w:r>
      <w:r w:rsidR="00C03FAA">
        <w:t>consider</w:t>
      </w:r>
      <w:r w:rsidR="00022D4F">
        <w:t xml:space="preserve"> how to </w:t>
      </w:r>
      <w:r w:rsidR="0000378C">
        <w:t xml:space="preserve">make this big effort as </w:t>
      </w:r>
      <w:r w:rsidR="00461119">
        <w:t>smooth</w:t>
      </w:r>
      <w:r w:rsidR="0000378C">
        <w:t xml:space="preserve"> as possib</w:t>
      </w:r>
      <w:r w:rsidR="00AC05B3">
        <w:t>le</w:t>
      </w:r>
      <w:r w:rsidR="000B30C9">
        <w:t>.</w:t>
      </w:r>
      <w:r w:rsidR="00F41C14">
        <w:t xml:space="preserve"> </w:t>
      </w:r>
      <w:r w:rsidR="002B0C4C">
        <w:t xml:space="preserve">For instance, </w:t>
      </w:r>
      <w:r w:rsidR="00F25473">
        <w:t xml:space="preserve">the group should consider if there should be a </w:t>
      </w:r>
      <w:r w:rsidR="00523075">
        <w:t xml:space="preserve">dedicated </w:t>
      </w:r>
      <w:r w:rsidR="00F25473">
        <w:t xml:space="preserve">request </w:t>
      </w:r>
      <w:r w:rsidR="00F81104">
        <w:t xml:space="preserve">window during which the requests to define existing 5G band </w:t>
      </w:r>
      <w:r w:rsidR="00347C7C">
        <w:t>also as</w:t>
      </w:r>
      <w:r w:rsidR="00F81104">
        <w:t xml:space="preserve"> 6G band</w:t>
      </w:r>
      <w:r w:rsidR="00523075">
        <w:t xml:space="preserve"> </w:t>
      </w:r>
      <w:r w:rsidR="00B8433D">
        <w:t xml:space="preserve">for first normative release </w:t>
      </w:r>
      <w:r w:rsidR="00523075">
        <w:t>should be place</w:t>
      </w:r>
      <w:r w:rsidR="009F010D">
        <w:t>d</w:t>
      </w:r>
      <w:r w:rsidR="00523075">
        <w:t xml:space="preserve"> to avoid new requests every Plenary cycle</w:t>
      </w:r>
      <w:r w:rsidR="00BB546F">
        <w:t xml:space="preserve"> that would lead to </w:t>
      </w:r>
      <w:r w:rsidR="008D1B55">
        <w:t xml:space="preserve">impossible load management </w:t>
      </w:r>
      <w:r w:rsidR="006A5878">
        <w:t>task for the RAN4 leadership</w:t>
      </w:r>
      <w:r w:rsidR="00523075">
        <w:t xml:space="preserve">. </w:t>
      </w:r>
      <w:r w:rsidR="00B405A5">
        <w:t>Bands not associated with band-specific NS values</w:t>
      </w:r>
      <w:r w:rsidR="006D50FB">
        <w:t xml:space="preserve"> are </w:t>
      </w:r>
      <w:r w:rsidR="00531C7C">
        <w:t>likely straightforward to specify wh</w:t>
      </w:r>
      <w:r w:rsidR="00BD49A3">
        <w:t>ereas</w:t>
      </w:r>
      <w:r w:rsidR="00531C7C">
        <w:t xml:space="preserve"> bands with specific NS-values require </w:t>
      </w:r>
      <w:r w:rsidR="004C6220">
        <w:t xml:space="preserve">more work. </w:t>
      </w:r>
    </w:p>
    <w:p w14:paraId="087C0DE3" w14:textId="7CFBB159" w:rsidR="00701FDE" w:rsidRDefault="00015776" w:rsidP="00B23507">
      <w:r>
        <w:t>One</w:t>
      </w:r>
      <w:r w:rsidR="007019A2">
        <w:t xml:space="preserve"> thing to consider </w:t>
      </w:r>
      <w:r w:rsidR="00333021">
        <w:t>are</w:t>
      </w:r>
      <w:r w:rsidR="007019A2">
        <w:t xml:space="preserve"> the naming conventions for 6G bands</w:t>
      </w:r>
      <w:r w:rsidR="008B1037">
        <w:t xml:space="preserve">, including </w:t>
      </w:r>
      <w:r w:rsidR="001376BA">
        <w:t>the 6G denominator</w:t>
      </w:r>
      <w:r w:rsidR="007019A2">
        <w:t xml:space="preserve">– in 4G </w:t>
      </w:r>
      <w:r w:rsidR="001376BA">
        <w:t>it</w:t>
      </w:r>
      <w:r w:rsidR="007019A2">
        <w:t xml:space="preserve"> w</w:t>
      </w:r>
      <w:r w:rsidR="001376BA">
        <w:t>as</w:t>
      </w:r>
      <w:r w:rsidR="007019A2">
        <w:t xml:space="preserve"> “B”, in 5G “n”</w:t>
      </w:r>
      <w:r w:rsidR="000213FD">
        <w:t>, 6G is waiting for the</w:t>
      </w:r>
      <w:r w:rsidR="009E1B2A">
        <w:t xml:space="preserve"> denominator as well as the </w:t>
      </w:r>
      <w:r w:rsidR="00E526F0">
        <w:t>denominators</w:t>
      </w:r>
      <w:r w:rsidR="009E1B2A">
        <w:t xml:space="preserve"> for single carrier and intra-band CA</w:t>
      </w:r>
      <w:r w:rsidR="000213FD">
        <w:t>.</w:t>
      </w:r>
      <w:r w:rsidR="00E647A9">
        <w:t xml:space="preserve"> </w:t>
      </w:r>
      <w:r w:rsidR="002F6467">
        <w:t xml:space="preserve"> It would be preferr</w:t>
      </w:r>
      <w:r w:rsidR="001D4B0E">
        <w:t>able</w:t>
      </w:r>
      <w:r w:rsidR="002F6467">
        <w:t xml:space="preserve"> to conclude naming convention</w:t>
      </w:r>
      <w:r w:rsidR="00230571">
        <w:t>s</w:t>
      </w:r>
      <w:r w:rsidR="00333021">
        <w:t xml:space="preserve"> earlier rather than later because </w:t>
      </w:r>
      <w:r w:rsidR="000A5366">
        <w:t>they would be needed also in band combination studies.</w:t>
      </w:r>
    </w:p>
    <w:p w14:paraId="5E350D67" w14:textId="2C3EEC07" w:rsidR="00A41EBF" w:rsidRDefault="00A00083" w:rsidP="00B23507">
      <w:r>
        <w:t>In the first release</w:t>
      </w:r>
      <w:r w:rsidR="00BC79C8">
        <w:t xml:space="preserve"> of 5G, </w:t>
      </w:r>
      <w:r w:rsidR="00E83F56">
        <w:t>bandwidth</w:t>
      </w:r>
      <w:r w:rsidR="001B3E5D">
        <w:t>s only up to 20</w:t>
      </w:r>
      <w:r w:rsidR="00F70551">
        <w:t xml:space="preserve"> </w:t>
      </w:r>
      <w:r w:rsidR="001B3E5D">
        <w:t xml:space="preserve">MHz </w:t>
      </w:r>
      <w:r w:rsidR="00EC7CE7">
        <w:t xml:space="preserve">with a small number of exceptions </w:t>
      </w:r>
      <w:r w:rsidR="001B3E5D">
        <w:t>where specified for FDD band</w:t>
      </w:r>
      <w:r w:rsidR="00EC7CE7">
        <w:t>s. In subsequent releas</w:t>
      </w:r>
      <w:r w:rsidR="00F67BEF">
        <w:t xml:space="preserve">es </w:t>
      </w:r>
      <w:r w:rsidR="00303F25">
        <w:t xml:space="preserve">both </w:t>
      </w:r>
      <w:r w:rsidR="00F67BEF">
        <w:t xml:space="preserve">Intra-band </w:t>
      </w:r>
      <w:r w:rsidR="00303F25">
        <w:t>contiguous CA</w:t>
      </w:r>
      <w:r w:rsidR="00F67BEF">
        <w:t xml:space="preserve"> </w:t>
      </w:r>
      <w:r w:rsidR="00303F25">
        <w:t xml:space="preserve">and wider single CC </w:t>
      </w:r>
      <w:r w:rsidR="00E83F56">
        <w:t>BWs</w:t>
      </w:r>
      <w:r w:rsidR="00303F25">
        <w:t xml:space="preserve"> were specified</w:t>
      </w:r>
      <w:r w:rsidR="007C381F">
        <w:t xml:space="preserve">. We suggest </w:t>
      </w:r>
      <w:r w:rsidR="005E6CF1">
        <w:t>specifying</w:t>
      </w:r>
      <w:r w:rsidR="007C381F">
        <w:t xml:space="preserve"> </w:t>
      </w:r>
      <w:r w:rsidR="00CB2E6D">
        <w:t>all relevant</w:t>
      </w:r>
      <w:r w:rsidR="005E6CF1">
        <w:t xml:space="preserve"> </w:t>
      </w:r>
      <w:r w:rsidR="00E83F56">
        <w:t>BWs</w:t>
      </w:r>
      <w:r w:rsidR="00800528">
        <w:t xml:space="preserve"> from the beginning for each band</w:t>
      </w:r>
      <w:r w:rsidR="00665C3D">
        <w:t xml:space="preserve"> to avoid the need of adding </w:t>
      </w:r>
      <w:r w:rsidR="005E6CF1">
        <w:t xml:space="preserve">new BWs later and </w:t>
      </w:r>
      <w:r w:rsidR="000F25C2">
        <w:t>to avoid the</w:t>
      </w:r>
      <w:r w:rsidR="005E6CF1">
        <w:t xml:space="preserve"> need of Intra-band contiguous CA</w:t>
      </w:r>
      <w:r w:rsidR="001320B3">
        <w:t xml:space="preserve"> for cases which can be supported by single carrier</w:t>
      </w:r>
      <w:r w:rsidR="005E6CF1">
        <w:t>.</w:t>
      </w:r>
    </w:p>
    <w:p w14:paraId="5A11A97D" w14:textId="2B6E72E1" w:rsidR="00EB487A" w:rsidRDefault="00EB487A" w:rsidP="00B23507">
      <w:pPr>
        <w:rPr>
          <w:b/>
          <w:bCs/>
        </w:rPr>
      </w:pPr>
      <w:r w:rsidRPr="00064FEC">
        <w:rPr>
          <w:b/>
          <w:bCs/>
        </w:rPr>
        <w:t>Proposal</w:t>
      </w:r>
      <w:r w:rsidR="009464E9">
        <w:rPr>
          <w:b/>
          <w:bCs/>
        </w:rPr>
        <w:t xml:space="preserve"> 2.2.1-1</w:t>
      </w:r>
      <w:r w:rsidRPr="00064FEC">
        <w:rPr>
          <w:b/>
          <w:bCs/>
        </w:rPr>
        <w:t xml:space="preserve">: </w:t>
      </w:r>
      <w:r w:rsidR="007C2458" w:rsidRPr="00064FEC">
        <w:rPr>
          <w:b/>
          <w:bCs/>
        </w:rPr>
        <w:t xml:space="preserve">Study </w:t>
      </w:r>
      <w:r w:rsidR="00B959C0">
        <w:rPr>
          <w:b/>
          <w:bCs/>
        </w:rPr>
        <w:t xml:space="preserve">and conclude </w:t>
      </w:r>
      <w:r w:rsidR="007C2458" w:rsidRPr="00064FEC">
        <w:rPr>
          <w:b/>
          <w:bCs/>
        </w:rPr>
        <w:t>naming convention</w:t>
      </w:r>
      <w:r w:rsidR="004419A6">
        <w:rPr>
          <w:b/>
          <w:bCs/>
        </w:rPr>
        <w:t>s</w:t>
      </w:r>
      <w:r w:rsidR="007C2458" w:rsidRPr="00064FEC">
        <w:rPr>
          <w:b/>
          <w:bCs/>
        </w:rPr>
        <w:t xml:space="preserve"> </w:t>
      </w:r>
      <w:r w:rsidR="00865CA0">
        <w:rPr>
          <w:b/>
          <w:bCs/>
        </w:rPr>
        <w:t>for</w:t>
      </w:r>
      <w:r w:rsidR="007C2458" w:rsidRPr="00064FEC">
        <w:rPr>
          <w:b/>
          <w:bCs/>
        </w:rPr>
        <w:t xml:space="preserve"> 6G bands</w:t>
      </w:r>
      <w:r w:rsidR="00D146ED">
        <w:rPr>
          <w:b/>
          <w:bCs/>
        </w:rPr>
        <w:t xml:space="preserve"> </w:t>
      </w:r>
      <w:r w:rsidR="000E092F">
        <w:rPr>
          <w:b/>
          <w:bCs/>
        </w:rPr>
        <w:t xml:space="preserve">including Single Carrier and Intra-band CA </w:t>
      </w:r>
      <w:r w:rsidR="00D146ED">
        <w:rPr>
          <w:b/>
          <w:bCs/>
        </w:rPr>
        <w:t>as priority</w:t>
      </w:r>
    </w:p>
    <w:p w14:paraId="21F30C40" w14:textId="43E98E82" w:rsidR="00D42AD5" w:rsidRDefault="00064FEC" w:rsidP="00B23507">
      <w:pPr>
        <w:rPr>
          <w:b/>
          <w:bCs/>
        </w:rPr>
      </w:pPr>
      <w:r>
        <w:rPr>
          <w:b/>
          <w:bCs/>
        </w:rPr>
        <w:t>Proposal</w:t>
      </w:r>
      <w:r w:rsidR="009464E9">
        <w:rPr>
          <w:b/>
          <w:bCs/>
        </w:rPr>
        <w:t xml:space="preserve"> 2.2.1-2</w:t>
      </w:r>
      <w:r>
        <w:rPr>
          <w:b/>
          <w:bCs/>
        </w:rPr>
        <w:t xml:space="preserve">: Study </w:t>
      </w:r>
      <w:r w:rsidR="00EF2464">
        <w:rPr>
          <w:b/>
          <w:bCs/>
        </w:rPr>
        <w:t xml:space="preserve">the process how to </w:t>
      </w:r>
      <w:r w:rsidR="00037F90">
        <w:rPr>
          <w:b/>
          <w:bCs/>
        </w:rPr>
        <w:t>migrate</w:t>
      </w:r>
      <w:r w:rsidR="003C63DA">
        <w:rPr>
          <w:b/>
          <w:bCs/>
        </w:rPr>
        <w:t xml:space="preserve"> </w:t>
      </w:r>
      <w:r w:rsidR="006B4BE1">
        <w:rPr>
          <w:b/>
          <w:bCs/>
        </w:rPr>
        <w:t xml:space="preserve">requirements </w:t>
      </w:r>
      <w:r w:rsidR="00922104">
        <w:rPr>
          <w:b/>
          <w:bCs/>
        </w:rPr>
        <w:t xml:space="preserve">of </w:t>
      </w:r>
      <w:r w:rsidR="003C63DA">
        <w:rPr>
          <w:b/>
          <w:bCs/>
        </w:rPr>
        <w:t xml:space="preserve">existing </w:t>
      </w:r>
      <w:r w:rsidR="00D10BC5">
        <w:rPr>
          <w:b/>
          <w:bCs/>
        </w:rPr>
        <w:t>5G</w:t>
      </w:r>
      <w:r w:rsidR="003C63DA">
        <w:rPr>
          <w:b/>
          <w:bCs/>
        </w:rPr>
        <w:t xml:space="preserve"> bands </w:t>
      </w:r>
      <w:r w:rsidR="00922104">
        <w:rPr>
          <w:b/>
          <w:bCs/>
        </w:rPr>
        <w:t>to</w:t>
      </w:r>
      <w:r w:rsidR="003C63DA">
        <w:rPr>
          <w:b/>
          <w:bCs/>
        </w:rPr>
        <w:t xml:space="preserve"> 6G band</w:t>
      </w:r>
      <w:r w:rsidR="00F15E37">
        <w:rPr>
          <w:b/>
          <w:bCs/>
        </w:rPr>
        <w:t xml:space="preserve"> requirement</w:t>
      </w:r>
      <w:r w:rsidR="003C63DA">
        <w:rPr>
          <w:b/>
          <w:bCs/>
        </w:rPr>
        <w:t>s</w:t>
      </w:r>
      <w:r w:rsidR="006808F9">
        <w:rPr>
          <w:b/>
          <w:bCs/>
        </w:rPr>
        <w:t xml:space="preserve"> to avoid inefficiencies during W</w:t>
      </w:r>
      <w:r w:rsidR="00F15E37">
        <w:rPr>
          <w:b/>
          <w:bCs/>
        </w:rPr>
        <w:t>I</w:t>
      </w:r>
      <w:r w:rsidR="006808F9">
        <w:rPr>
          <w:b/>
          <w:bCs/>
        </w:rPr>
        <w:t xml:space="preserve"> phase</w:t>
      </w:r>
    </w:p>
    <w:p w14:paraId="34223F7D" w14:textId="4E036329" w:rsidR="003C63DA" w:rsidRPr="00064FEC" w:rsidRDefault="00F03A4E" w:rsidP="00B23507">
      <w:pPr>
        <w:rPr>
          <w:b/>
          <w:bCs/>
        </w:rPr>
      </w:pPr>
      <w:r>
        <w:rPr>
          <w:b/>
          <w:bCs/>
        </w:rPr>
        <w:t>Proposal</w:t>
      </w:r>
      <w:r w:rsidR="009464E9">
        <w:rPr>
          <w:b/>
          <w:bCs/>
        </w:rPr>
        <w:t xml:space="preserve"> 2.2.1-3</w:t>
      </w:r>
      <w:r>
        <w:rPr>
          <w:b/>
          <w:bCs/>
        </w:rPr>
        <w:t>: Account regulatory timelines</w:t>
      </w:r>
      <w:r w:rsidR="00C82566">
        <w:rPr>
          <w:b/>
          <w:bCs/>
        </w:rPr>
        <w:t xml:space="preserve"> and outcomes in studying the characteristics of 6G bands for new frequencies</w:t>
      </w:r>
      <w:r w:rsidR="00FB0BB0">
        <w:rPr>
          <w:b/>
          <w:bCs/>
        </w:rPr>
        <w:t>/regions</w:t>
      </w:r>
    </w:p>
    <w:p w14:paraId="4C0298F0" w14:textId="0F8F9AF8" w:rsidR="00A60252" w:rsidRDefault="003027B0" w:rsidP="00321A55">
      <w:pPr>
        <w:pStyle w:val="Heading3"/>
      </w:pPr>
      <w:r>
        <w:lastRenderedPageBreak/>
        <w:t>2</w:t>
      </w:r>
      <w:r w:rsidR="00321A55">
        <w:t>.2</w:t>
      </w:r>
      <w:r w:rsidR="009464E9">
        <w:t>.2</w:t>
      </w:r>
      <w:r w:rsidR="00321A55">
        <w:t xml:space="preserve"> </w:t>
      </w:r>
      <w:r w:rsidR="00FF12AC">
        <w:tab/>
      </w:r>
      <w:r w:rsidR="00A60252">
        <w:t xml:space="preserve">Band </w:t>
      </w:r>
      <w:r w:rsidR="00904DC5">
        <w:t xml:space="preserve">combination </w:t>
      </w:r>
      <w:r w:rsidR="00A60252">
        <w:t xml:space="preserve">definition </w:t>
      </w:r>
      <w:r>
        <w:t>and simplification</w:t>
      </w:r>
      <w:r w:rsidR="00526537">
        <w:t xml:space="preserve"> for 6GR</w:t>
      </w:r>
    </w:p>
    <w:p w14:paraId="5E9BE8F1" w14:textId="0BAF5EC3" w:rsidR="000E1652" w:rsidRDefault="005D7324" w:rsidP="00B23507">
      <w:r>
        <w:t xml:space="preserve">Pending RAN/RAN1 decisions on which aggregation options </w:t>
      </w:r>
      <w:r w:rsidR="0089039D">
        <w:t>are</w:t>
      </w:r>
      <w:r>
        <w:t xml:space="preserve"> supported in addition to 6G Carrier Aggregation</w:t>
      </w:r>
      <w:r w:rsidR="00AC6E3D">
        <w:t xml:space="preserve"> and also other RAN1 decisions regarding </w:t>
      </w:r>
      <w:r w:rsidR="00343E0A">
        <w:t xml:space="preserve">all </w:t>
      </w:r>
      <w:r w:rsidR="00C26D11">
        <w:t xml:space="preserve">detailed </w:t>
      </w:r>
      <w:r w:rsidR="00343E0A">
        <w:t>spectrum aggregation matters</w:t>
      </w:r>
      <w:r w:rsidR="00B11C90">
        <w:t>,</w:t>
      </w:r>
      <w:r>
        <w:t xml:space="preserve"> </w:t>
      </w:r>
      <w:r w:rsidR="002814C4">
        <w:t>t</w:t>
      </w:r>
      <w:r w:rsidR="00B23507">
        <w:t>he group should study if band combinations in 6G specification could be specified in RAT</w:t>
      </w:r>
      <w:r w:rsidR="00250D98">
        <w:t>/Aggregation method</w:t>
      </w:r>
      <w:r w:rsidR="00B23507">
        <w:t xml:space="preserve"> agnostic way to avoid “duplicated” listing combinations for CA/D</w:t>
      </w:r>
      <w:r w:rsidR="00B31F6C">
        <w:t xml:space="preserve">ual </w:t>
      </w:r>
      <w:r w:rsidR="00B23507">
        <w:t>C</w:t>
      </w:r>
      <w:r w:rsidR="00B31F6C">
        <w:t>onnectivity</w:t>
      </w:r>
      <w:r w:rsidR="00B23507">
        <w:t xml:space="preserve">/Dual Stack. </w:t>
      </w:r>
      <w:r w:rsidR="00B31ABD">
        <w:t>We suggest this because</w:t>
      </w:r>
      <w:r w:rsidR="003E69D3">
        <w:t xml:space="preserve"> having</w:t>
      </w:r>
      <w:r w:rsidR="000E1652">
        <w:t xml:space="preserve"> dedicated </w:t>
      </w:r>
      <w:r w:rsidR="003E69D3">
        <w:t xml:space="preserve">tables for different aggregation options </w:t>
      </w:r>
      <w:r w:rsidR="000E1652">
        <w:t>would be very laborious eventually.</w:t>
      </w:r>
      <w:r w:rsidR="006D267A" w:rsidRPr="006D267A">
        <w:t xml:space="preserve"> </w:t>
      </w:r>
      <w:r w:rsidR="006D267A">
        <w:t>The band combination definition and specification methods must be flexible enough to fully account the outcome of RAN1 work</w:t>
      </w:r>
      <w:r w:rsidR="00AC6E3D">
        <w:t>.</w:t>
      </w:r>
      <w:r w:rsidR="006D267A">
        <w:t xml:space="preserve"> </w:t>
      </w:r>
    </w:p>
    <w:p w14:paraId="12EE96E8" w14:textId="3DF962A1" w:rsidR="00B23507" w:rsidRDefault="00B23507" w:rsidP="00B23507">
      <w:r>
        <w:t xml:space="preserve">As one part of the study, RAN4 should consider whether the practice in 4G and 5G era, that </w:t>
      </w:r>
      <w:r w:rsidR="00D15355">
        <w:t>was</w:t>
      </w:r>
      <w:r>
        <w:t xml:space="preserve"> to define virtually all possible permutations for band combinations</w:t>
      </w:r>
      <w:r w:rsidR="00D15355">
        <w:t>,</w:t>
      </w:r>
      <w:r>
        <w:t xml:space="preserve"> is still suitable (which today is </w:t>
      </w:r>
      <w:r w:rsidR="00725B7B">
        <w:t>u</w:t>
      </w:r>
      <w:r>
        <w:t>p to 6 FR1 bands with 6 or more CC’s in NR CA), or if some changes to that would be beneficial</w:t>
      </w:r>
      <w:r w:rsidR="00434917">
        <w:t xml:space="preserve"> </w:t>
      </w:r>
      <w:r w:rsidR="002C70B5">
        <w:t>for inst</w:t>
      </w:r>
      <w:r w:rsidR="002F3653">
        <w:t>a</w:t>
      </w:r>
      <w:r w:rsidR="00765066">
        <w:t>n</w:t>
      </w:r>
      <w:r w:rsidR="002C70B5">
        <w:t>ce</w:t>
      </w:r>
      <w:r>
        <w:t xml:space="preserve"> one aspect in the RAN4 specification could be the treatment of Intra-band CA within a band. The group should seek a solution for a generic way to show intra-band CA support for a band within </w:t>
      </w:r>
      <w:r w:rsidR="00377EE3">
        <w:t>Inter-</w:t>
      </w:r>
      <w:r>
        <w:t xml:space="preserve">band combination. This alone would reduce the number of band combination count significantly as one would not need </w:t>
      </w:r>
      <w:r w:rsidR="00C97521">
        <w:t xml:space="preserve">to separately </w:t>
      </w:r>
      <w:r w:rsidR="009A747F">
        <w:t>list Inter-</w:t>
      </w:r>
      <w:r>
        <w:t>band combination with “A”, “B”, “C”, “2A”, 3A”</w:t>
      </w:r>
      <w:r w:rsidR="009A747F">
        <w:t>, or whatever they are called</w:t>
      </w:r>
      <w:r w:rsidR="00377EE3">
        <w:t>,</w:t>
      </w:r>
      <w:r w:rsidR="009A747F">
        <w:t xml:space="preserve"> for constituent bands</w:t>
      </w:r>
      <w:r w:rsidR="00377EE3">
        <w:t>.</w:t>
      </w:r>
    </w:p>
    <w:p w14:paraId="661FFDC6" w14:textId="77777777" w:rsidR="00B23507" w:rsidRDefault="00B23507" w:rsidP="00B23507">
      <w:r>
        <w:t>At least the following topics should be included in the study.</w:t>
      </w:r>
    </w:p>
    <w:p w14:paraId="7457774F" w14:textId="6FFA1DFE" w:rsidR="00B23507" w:rsidRDefault="00B23507" w:rsidP="00B23507">
      <w:r w:rsidRPr="00100596">
        <w:rPr>
          <w:b/>
          <w:bCs/>
        </w:rPr>
        <w:t>Proposal</w:t>
      </w:r>
      <w:r w:rsidR="009464E9">
        <w:rPr>
          <w:b/>
          <w:bCs/>
        </w:rPr>
        <w:t xml:space="preserve"> 2.2.2-1</w:t>
      </w:r>
      <w:r w:rsidRPr="00100596">
        <w:rPr>
          <w:b/>
          <w:bCs/>
        </w:rPr>
        <w:t>:</w:t>
      </w:r>
      <w:r>
        <w:t xml:space="preserve"> </w:t>
      </w:r>
      <w:r w:rsidRPr="00662411">
        <w:rPr>
          <w:b/>
          <w:bCs/>
        </w:rPr>
        <w:t xml:space="preserve">Pending </w:t>
      </w:r>
      <w:r w:rsidR="00F5401E">
        <w:rPr>
          <w:b/>
          <w:bCs/>
        </w:rPr>
        <w:t>RAN/</w:t>
      </w:r>
      <w:r w:rsidRPr="00662411">
        <w:rPr>
          <w:b/>
          <w:bCs/>
        </w:rPr>
        <w:t xml:space="preserve">RAN1 </w:t>
      </w:r>
      <w:r w:rsidR="00C26D11">
        <w:rPr>
          <w:b/>
          <w:bCs/>
        </w:rPr>
        <w:t>outcomes</w:t>
      </w:r>
      <w:r w:rsidRPr="00662411">
        <w:rPr>
          <w:b/>
          <w:bCs/>
        </w:rPr>
        <w:t xml:space="preserve"> on the </w:t>
      </w:r>
      <w:r w:rsidR="00765066">
        <w:rPr>
          <w:b/>
          <w:bCs/>
        </w:rPr>
        <w:t>spectrum</w:t>
      </w:r>
      <w:r w:rsidRPr="00662411">
        <w:rPr>
          <w:b/>
          <w:bCs/>
        </w:rPr>
        <w:t xml:space="preserve"> aggregation </w:t>
      </w:r>
      <w:r w:rsidRPr="5010598B">
        <w:rPr>
          <w:b/>
          <w:bCs/>
        </w:rPr>
        <w:t>options</w:t>
      </w:r>
      <w:r w:rsidRPr="00662411">
        <w:rPr>
          <w:b/>
          <w:bCs/>
        </w:rPr>
        <w:t>(s)</w:t>
      </w:r>
      <w:r w:rsidR="00C26D11">
        <w:rPr>
          <w:b/>
          <w:bCs/>
        </w:rPr>
        <w:t xml:space="preserve"> and RAN1 </w:t>
      </w:r>
      <w:r w:rsidR="00DE5B79">
        <w:rPr>
          <w:b/>
          <w:bCs/>
        </w:rPr>
        <w:t>outcomes on detailed spectrum aggregation matters</w:t>
      </w:r>
      <w:r w:rsidRPr="00662411">
        <w:rPr>
          <w:b/>
          <w:bCs/>
        </w:rPr>
        <w:t xml:space="preserve">, study how to specify band combinations in a simple way, striving to avoid duplicate band combination tables in case </w:t>
      </w:r>
      <w:r w:rsidR="00D05CEF">
        <w:rPr>
          <w:b/>
          <w:bCs/>
        </w:rPr>
        <w:t>more than one of</w:t>
      </w:r>
      <w:r w:rsidRPr="00662411">
        <w:rPr>
          <w:b/>
          <w:bCs/>
        </w:rPr>
        <w:t xml:space="preserve"> CA, D</w:t>
      </w:r>
      <w:r w:rsidR="00EF5EAC">
        <w:rPr>
          <w:b/>
          <w:bCs/>
        </w:rPr>
        <w:t xml:space="preserve">ual </w:t>
      </w:r>
      <w:r w:rsidRPr="00662411">
        <w:rPr>
          <w:b/>
          <w:bCs/>
        </w:rPr>
        <w:t>C</w:t>
      </w:r>
      <w:r w:rsidR="00607FD4">
        <w:rPr>
          <w:b/>
          <w:bCs/>
        </w:rPr>
        <w:t>onnectivity</w:t>
      </w:r>
      <w:r w:rsidRPr="00662411">
        <w:rPr>
          <w:b/>
          <w:bCs/>
        </w:rPr>
        <w:t>, Dual Stack are supported</w:t>
      </w:r>
    </w:p>
    <w:p w14:paraId="5A88FE7E" w14:textId="25FEB240" w:rsidR="00B23507" w:rsidRPr="00662411" w:rsidRDefault="00B23507" w:rsidP="00B23507">
      <w:pPr>
        <w:rPr>
          <w:b/>
          <w:bCs/>
        </w:rPr>
      </w:pPr>
      <w:r w:rsidRPr="00662411">
        <w:rPr>
          <w:b/>
          <w:bCs/>
        </w:rPr>
        <w:t>Proposal</w:t>
      </w:r>
      <w:r w:rsidR="009464E9">
        <w:rPr>
          <w:b/>
          <w:bCs/>
        </w:rPr>
        <w:t xml:space="preserve"> 2.2.2-2</w:t>
      </w:r>
      <w:r w:rsidRPr="00662411">
        <w:rPr>
          <w:b/>
          <w:bCs/>
        </w:rPr>
        <w:t xml:space="preserve">: Study whether the approach of specifying all permutations for band combinations </w:t>
      </w:r>
      <w:r>
        <w:rPr>
          <w:b/>
          <w:bCs/>
        </w:rPr>
        <w:t xml:space="preserve">separately </w:t>
      </w:r>
      <w:r w:rsidRPr="00662411">
        <w:rPr>
          <w:b/>
          <w:bCs/>
        </w:rPr>
        <w:t>up to the maximum number of bands</w:t>
      </w:r>
      <w:r>
        <w:rPr>
          <w:b/>
          <w:bCs/>
        </w:rPr>
        <w:t xml:space="preserve"> and CC’s</w:t>
      </w:r>
      <w:r w:rsidRPr="00662411">
        <w:rPr>
          <w:b/>
          <w:bCs/>
        </w:rPr>
        <w:t xml:space="preserve"> per operator is still suitable, or if some simplification in some form could be used</w:t>
      </w:r>
    </w:p>
    <w:p w14:paraId="21DC66DD" w14:textId="3FB4AE65" w:rsidR="000410F3" w:rsidRDefault="000410F3" w:rsidP="000410F3">
      <w:r>
        <w:t>The TX and RX allowances, ∆T</w:t>
      </w:r>
      <w:r w:rsidRPr="0020432B">
        <w:rPr>
          <w:vertAlign w:val="subscript"/>
        </w:rPr>
        <w:t>IB</w:t>
      </w:r>
      <w:r>
        <w:t xml:space="preserve"> and ∆R</w:t>
      </w:r>
      <w:r w:rsidRPr="0020432B">
        <w:rPr>
          <w:vertAlign w:val="subscript"/>
        </w:rPr>
        <w:t>IB</w:t>
      </w:r>
      <w:r w:rsidRPr="00C564F7">
        <w:t xml:space="preserve">, </w:t>
      </w:r>
      <w:r>
        <w:t xml:space="preserve">have been specified </w:t>
      </w:r>
      <w:r w:rsidR="00241DED">
        <w:t>since</w:t>
      </w:r>
      <w:r>
        <w:t xml:space="preserve"> LTE Rel-10. During the first years of CA they were important as the RF technology, especially in RFFE was still evolving so margins would have been too tight without these allowances. Another aspect was that these additional deltas somehow depicted the performance difference of CA UE vs </w:t>
      </w:r>
      <w:r w:rsidR="002A2956">
        <w:t>non-CA UE</w:t>
      </w:r>
      <w:r>
        <w:t>. However, during the past years the relevance of these has decreased a lot, up to the level that many companies don’t even follow what ∆T</w:t>
      </w:r>
      <w:r w:rsidRPr="0020432B">
        <w:rPr>
          <w:vertAlign w:val="subscript"/>
        </w:rPr>
        <w:t>IB</w:t>
      </w:r>
      <w:r>
        <w:t xml:space="preserve"> and ∆R</w:t>
      </w:r>
      <w:r w:rsidRPr="0020432B">
        <w:rPr>
          <w:vertAlign w:val="subscript"/>
        </w:rPr>
        <w:t>IB</w:t>
      </w:r>
      <w:r>
        <w:t xml:space="preserve"> numbers are used for new band combinations in 3GPP, let alone internal link budgets. In addition, virtually every </w:t>
      </w:r>
      <w:r w:rsidR="007172B8">
        <w:t>smartphone</w:t>
      </w:r>
      <w:r>
        <w:t xml:space="preserve"> </w:t>
      </w:r>
      <w:r w:rsidR="2ABED3CB">
        <w:t>supports</w:t>
      </w:r>
      <w:r>
        <w:t xml:space="preserve"> CA nowadays. For 6G, the </w:t>
      </w:r>
      <w:r w:rsidR="17BE1F98">
        <w:t xml:space="preserve">RAN4 </w:t>
      </w:r>
      <w:r>
        <w:t xml:space="preserve">group should check whether these allowances are still needed or not in the specifications.  If they are still found necessary, some generic solution to define those </w:t>
      </w:r>
      <w:r w:rsidR="52474309">
        <w:t xml:space="preserve">allowances </w:t>
      </w:r>
      <w:r>
        <w:t xml:space="preserve">could be used. Our current view is that these </w:t>
      </w:r>
      <w:r w:rsidR="4E98D185">
        <w:t>are not</w:t>
      </w:r>
      <w:r>
        <w:t xml:space="preserve"> needed anymore in 6G.</w:t>
      </w:r>
    </w:p>
    <w:p w14:paraId="3012234C" w14:textId="062047D7" w:rsidR="000410F3" w:rsidRPr="00665075" w:rsidRDefault="00DE5C1C" w:rsidP="00665075">
      <w:pPr>
        <w:rPr>
          <w:b/>
          <w:bCs/>
          <w:lang w:val="en-US"/>
        </w:rPr>
      </w:pPr>
      <w:r w:rsidRPr="00665075">
        <w:rPr>
          <w:b/>
          <w:bCs/>
        </w:rPr>
        <w:t>Proposal</w:t>
      </w:r>
      <w:r w:rsidR="00286166">
        <w:rPr>
          <w:b/>
          <w:bCs/>
        </w:rPr>
        <w:t xml:space="preserve"> 2.2.2-</w:t>
      </w:r>
      <w:r w:rsidR="009C760E">
        <w:rPr>
          <w:b/>
          <w:bCs/>
        </w:rPr>
        <w:t>3</w:t>
      </w:r>
      <w:r w:rsidRPr="00665075">
        <w:rPr>
          <w:b/>
          <w:bCs/>
        </w:rPr>
        <w:t xml:space="preserve">: </w:t>
      </w:r>
      <w:r w:rsidR="00D002D7">
        <w:rPr>
          <w:b/>
          <w:bCs/>
        </w:rPr>
        <w:t>Study</w:t>
      </w:r>
      <w:r w:rsidR="00D002D7" w:rsidRPr="00665075">
        <w:rPr>
          <w:b/>
          <w:bCs/>
        </w:rPr>
        <w:t xml:space="preserve"> </w:t>
      </w:r>
      <w:r w:rsidRPr="00665075">
        <w:rPr>
          <w:b/>
          <w:bCs/>
        </w:rPr>
        <w:t>if ∆T</w:t>
      </w:r>
      <w:r w:rsidRPr="00226ADF">
        <w:rPr>
          <w:b/>
          <w:bCs/>
          <w:vertAlign w:val="subscript"/>
        </w:rPr>
        <w:t xml:space="preserve">IB </w:t>
      </w:r>
      <w:r w:rsidRPr="00665075">
        <w:rPr>
          <w:b/>
          <w:bCs/>
        </w:rPr>
        <w:t>and ∆R</w:t>
      </w:r>
      <w:r w:rsidRPr="00226ADF">
        <w:rPr>
          <w:b/>
          <w:bCs/>
          <w:vertAlign w:val="subscript"/>
        </w:rPr>
        <w:t>IB</w:t>
      </w:r>
      <w:r w:rsidRPr="00665075">
        <w:rPr>
          <w:b/>
          <w:bCs/>
        </w:rPr>
        <w:t xml:space="preserve"> are still needed, or if they could be discontinued in 6G</w:t>
      </w:r>
      <w:r w:rsidR="00665075" w:rsidRPr="00665075">
        <w:rPr>
          <w:lang w:val="en-US"/>
        </w:rPr>
        <w:t>.</w:t>
      </w:r>
      <w:r w:rsidR="00951E05" w:rsidRPr="00951E05">
        <w:rPr>
          <w:b/>
          <w:bCs/>
          <w:lang w:val="en-US"/>
        </w:rPr>
        <w:t xml:space="preserve"> </w:t>
      </w:r>
      <w:r w:rsidR="000410F3" w:rsidRPr="00951E05">
        <w:rPr>
          <w:b/>
          <w:bCs/>
        </w:rPr>
        <w:t xml:space="preserve">If </w:t>
      </w:r>
      <w:r w:rsidR="00B4786E">
        <w:rPr>
          <w:b/>
          <w:bCs/>
        </w:rPr>
        <w:t xml:space="preserve">one or both </w:t>
      </w:r>
      <w:r w:rsidR="000410F3" w:rsidRPr="00951E05">
        <w:rPr>
          <w:b/>
          <w:bCs/>
        </w:rPr>
        <w:t>∆T</w:t>
      </w:r>
      <w:r w:rsidR="000410F3" w:rsidRPr="00951E05">
        <w:rPr>
          <w:b/>
          <w:bCs/>
          <w:vertAlign w:val="subscript"/>
        </w:rPr>
        <w:t>IB</w:t>
      </w:r>
      <w:r w:rsidR="000410F3" w:rsidRPr="00951E05">
        <w:rPr>
          <w:b/>
          <w:bCs/>
        </w:rPr>
        <w:t xml:space="preserve"> and ∆R</w:t>
      </w:r>
      <w:r w:rsidR="000410F3" w:rsidRPr="00951E05">
        <w:rPr>
          <w:b/>
          <w:bCs/>
          <w:vertAlign w:val="subscript"/>
        </w:rPr>
        <w:t xml:space="preserve">IB </w:t>
      </w:r>
      <w:r w:rsidR="00B4786E">
        <w:rPr>
          <w:b/>
          <w:bCs/>
          <w:vertAlign w:val="subscript"/>
        </w:rPr>
        <w:t xml:space="preserve"> </w:t>
      </w:r>
      <w:r w:rsidR="000410F3" w:rsidRPr="00951E05">
        <w:rPr>
          <w:b/>
          <w:bCs/>
        </w:rPr>
        <w:t xml:space="preserve">are still needed, study how to specify those using generic method </w:t>
      </w:r>
    </w:p>
    <w:p w14:paraId="4831B26D" w14:textId="24D43E1D" w:rsidR="000410F3" w:rsidRDefault="000410F3" w:rsidP="000410F3">
      <w:r>
        <w:t>The group has made tremendous progress in simplifying MSD specification process over the past two years (HPUE LUT), but still there is room for further improvements. For instance, instead band combination specific PC3 MSD requirements there could be general MSD according to each MSD mechanism, using appropriate granularity. As an example, instead of having &gt;&gt;10 band combination specific MSD requirements for LB-MB harmonics, there could be one generic requirement for all LB-MB harmonics for each Power Class.</w:t>
      </w:r>
      <w:r w:rsidR="00304102">
        <w:t xml:space="preserve"> </w:t>
      </w:r>
      <w:r w:rsidR="000B5632">
        <w:t>D</w:t>
      </w:r>
      <w:r w:rsidR="006A553A">
        <w:t xml:space="preserve">efining generic MSD’s </w:t>
      </w:r>
      <w:r w:rsidR="00916F8A">
        <w:t>for different aggressor mechanisms</w:t>
      </w:r>
      <w:r w:rsidR="000B5632">
        <w:t xml:space="preserve"> will have different level of challenge</w:t>
      </w:r>
      <w:r w:rsidR="00916F8A">
        <w:t xml:space="preserve">. </w:t>
      </w:r>
      <w:r w:rsidR="002C691B">
        <w:t>While i</w:t>
      </w:r>
      <w:r w:rsidR="00753881">
        <w:t>t</w:t>
      </w:r>
      <w:r w:rsidR="002C691B">
        <w:t xml:space="preserve"> would be probably relatively easy to agree generic requirements for </w:t>
      </w:r>
      <w:r w:rsidR="00E765F4">
        <w:t>UL H</w:t>
      </w:r>
      <w:r w:rsidR="002C691B">
        <w:t xml:space="preserve">armonics and </w:t>
      </w:r>
      <w:r w:rsidR="00E765F4">
        <w:t>H</w:t>
      </w:r>
      <w:r w:rsidR="002C691B">
        <w:t xml:space="preserve">armonic </w:t>
      </w:r>
      <w:r w:rsidR="00E765F4">
        <w:t>M</w:t>
      </w:r>
      <w:r w:rsidR="002C691B">
        <w:t>ixing</w:t>
      </w:r>
      <w:r w:rsidR="00E765F4">
        <w:t>, and even for Inter</w:t>
      </w:r>
      <w:r w:rsidR="008C4DF7">
        <w:t>-</w:t>
      </w:r>
      <w:r w:rsidR="00E765F4">
        <w:t>modulations</w:t>
      </w:r>
      <w:r w:rsidR="002C691B">
        <w:t xml:space="preserve">, it might be </w:t>
      </w:r>
      <w:r w:rsidR="009A7C2E">
        <w:t>very challenging if not impossible to define</w:t>
      </w:r>
      <w:r w:rsidR="002C691B">
        <w:t xml:space="preserve"> </w:t>
      </w:r>
      <w:r w:rsidR="00E765F4">
        <w:t xml:space="preserve">generic MSD’s </w:t>
      </w:r>
      <w:r w:rsidR="009A7C2E">
        <w:t xml:space="preserve">for Cross-band cases </w:t>
      </w:r>
      <w:r w:rsidR="000A194B">
        <w:t xml:space="preserve">since </w:t>
      </w:r>
      <w:r w:rsidR="009A7C2E">
        <w:t xml:space="preserve">parametrization would be </w:t>
      </w:r>
      <w:r w:rsidR="009E482E">
        <w:t xml:space="preserve">an </w:t>
      </w:r>
      <w:r w:rsidR="009A7C2E">
        <w:t>ultimate challenge</w:t>
      </w:r>
      <w:r w:rsidR="009E482E">
        <w:t>.</w:t>
      </w:r>
      <w:r w:rsidR="00E765F4">
        <w:t xml:space="preserve"> </w:t>
      </w:r>
    </w:p>
    <w:p w14:paraId="3596E80C" w14:textId="77777777" w:rsidR="000410F3" w:rsidRDefault="000410F3" w:rsidP="000410F3">
      <w:r>
        <w:t>Now it is also perfect time to study which kind of MSD requirements are needed overall, one could easily reconsider if e.g. 1+1 RB type of IMD cases or triple-beat are necessary or not.</w:t>
      </w:r>
    </w:p>
    <w:p w14:paraId="0A685A13" w14:textId="2403A042" w:rsidR="00665075" w:rsidRPr="00665075" w:rsidRDefault="00665075" w:rsidP="000410F3">
      <w:pPr>
        <w:rPr>
          <w:b/>
          <w:bCs/>
        </w:rPr>
      </w:pPr>
      <w:r w:rsidRPr="00665075">
        <w:rPr>
          <w:b/>
          <w:bCs/>
        </w:rPr>
        <w:lastRenderedPageBreak/>
        <w:t>Proposal</w:t>
      </w:r>
      <w:r w:rsidR="009C760E">
        <w:rPr>
          <w:b/>
          <w:bCs/>
        </w:rPr>
        <w:t xml:space="preserve"> 2.2.2-4</w:t>
      </w:r>
      <w:r w:rsidRPr="00665075">
        <w:rPr>
          <w:b/>
          <w:bCs/>
        </w:rPr>
        <w:t>: Study how to specify REFSENS exceptions (MSD’s) for each Power Classes in more generic way, avoiding band combination specific requirements when possible</w:t>
      </w:r>
    </w:p>
    <w:p w14:paraId="7F41A62E" w14:textId="279E8BF4" w:rsidR="000410F3" w:rsidRDefault="00665075" w:rsidP="00665075">
      <w:pPr>
        <w:rPr>
          <w:b/>
          <w:bCs/>
        </w:rPr>
      </w:pPr>
      <w:r w:rsidRPr="00665075">
        <w:rPr>
          <w:b/>
          <w:bCs/>
        </w:rPr>
        <w:t>Proposal</w:t>
      </w:r>
      <w:r w:rsidR="009C760E">
        <w:rPr>
          <w:b/>
          <w:bCs/>
        </w:rPr>
        <w:t xml:space="preserve"> 2.2.2-5</w:t>
      </w:r>
      <w:r w:rsidRPr="00665075">
        <w:rPr>
          <w:b/>
          <w:bCs/>
        </w:rPr>
        <w:t xml:space="preserve">: </w:t>
      </w:r>
      <w:r w:rsidR="000410F3" w:rsidRPr="00665075">
        <w:rPr>
          <w:b/>
          <w:bCs/>
        </w:rPr>
        <w:t xml:space="preserve">Study which kind of MSD requirements are needed, including considerations </w:t>
      </w:r>
      <w:r w:rsidR="00F67E8F">
        <w:rPr>
          <w:b/>
          <w:bCs/>
        </w:rPr>
        <w:t xml:space="preserve">whether </w:t>
      </w:r>
      <w:r w:rsidR="000410F3" w:rsidRPr="00665075">
        <w:rPr>
          <w:b/>
          <w:bCs/>
        </w:rPr>
        <w:t>to drop some of most extreme current</w:t>
      </w:r>
      <w:r w:rsidR="00753881">
        <w:rPr>
          <w:b/>
          <w:bCs/>
        </w:rPr>
        <w:t>ly specified</w:t>
      </w:r>
      <w:r w:rsidR="000410F3" w:rsidRPr="00665075">
        <w:rPr>
          <w:b/>
          <w:bCs/>
        </w:rPr>
        <w:t xml:space="preserve"> cases</w:t>
      </w:r>
      <w:r w:rsidR="00753881">
        <w:rPr>
          <w:b/>
          <w:bCs/>
        </w:rPr>
        <w:t xml:space="preserve"> in 6G</w:t>
      </w:r>
    </w:p>
    <w:p w14:paraId="52FF84F9" w14:textId="08B2CEF9" w:rsidR="00201E90" w:rsidRPr="00201E90" w:rsidRDefault="00201E90" w:rsidP="00665075">
      <w:r>
        <w:t xml:space="preserve">Please note that we have also </w:t>
      </w:r>
      <w:r w:rsidR="00D86838">
        <w:t>considered</w:t>
      </w:r>
      <w:r>
        <w:t xml:space="preserve"> MSD</w:t>
      </w:r>
      <w:r w:rsidR="00A40CD5">
        <w:t xml:space="preserve"> </w:t>
      </w:r>
      <w:r w:rsidR="00A770C7">
        <w:t>framework</w:t>
      </w:r>
      <w:r w:rsidR="008D0C80">
        <w:t xml:space="preserve"> in </w:t>
      </w:r>
      <w:r w:rsidR="00E46385">
        <w:t xml:space="preserve">our </w:t>
      </w:r>
      <w:r w:rsidR="008E50C2">
        <w:t>6G general and UE RF</w:t>
      </w:r>
      <w:r w:rsidR="00E46385">
        <w:t xml:space="preserve"> submission [4]</w:t>
      </w:r>
      <w:r w:rsidR="0049066E">
        <w:t>.</w:t>
      </w:r>
    </w:p>
    <w:p w14:paraId="775D1D8D" w14:textId="2148055C" w:rsidR="00037D18" w:rsidRDefault="009464E9" w:rsidP="00F8595E">
      <w:pPr>
        <w:pStyle w:val="Heading2"/>
      </w:pPr>
      <w:r>
        <w:t>2.</w:t>
      </w:r>
      <w:r w:rsidR="003027B0">
        <w:t>3</w:t>
      </w:r>
      <w:r w:rsidR="00F8595E">
        <w:tab/>
        <w:t>Frequency ranges</w:t>
      </w:r>
    </w:p>
    <w:p w14:paraId="1AA19F7E" w14:textId="4C76088F" w:rsidR="00E36A23" w:rsidRDefault="003A538A" w:rsidP="00574343">
      <w:pPr>
        <w:pStyle w:val="Heading2"/>
        <w:ind w:left="0" w:firstLine="0"/>
        <w:rPr>
          <w:rFonts w:ascii="Times New Roman" w:hAnsi="Times New Roman"/>
          <w:sz w:val="20"/>
        </w:rPr>
      </w:pPr>
      <w:r>
        <w:rPr>
          <w:rFonts w:ascii="Times New Roman" w:hAnsi="Times New Roman"/>
          <w:sz w:val="20"/>
        </w:rPr>
        <w:t xml:space="preserve">The study on frequency ranges </w:t>
      </w:r>
      <w:r w:rsidR="00AC6EF9">
        <w:rPr>
          <w:rFonts w:ascii="Times New Roman" w:hAnsi="Times New Roman"/>
          <w:sz w:val="20"/>
        </w:rPr>
        <w:t>includes</w:t>
      </w:r>
      <w:r>
        <w:rPr>
          <w:rFonts w:ascii="Times New Roman" w:hAnsi="Times New Roman"/>
          <w:sz w:val="20"/>
        </w:rPr>
        <w:t xml:space="preserve"> two </w:t>
      </w:r>
      <w:r w:rsidR="00BB7E2D">
        <w:rPr>
          <w:rFonts w:ascii="Times New Roman" w:hAnsi="Times New Roman"/>
          <w:sz w:val="20"/>
        </w:rPr>
        <w:t>parts:</w:t>
      </w:r>
      <w:r>
        <w:rPr>
          <w:rFonts w:ascii="Times New Roman" w:hAnsi="Times New Roman"/>
          <w:sz w:val="20"/>
        </w:rPr>
        <w:t xml:space="preserve"> naming conventions and the actual freq</w:t>
      </w:r>
      <w:r w:rsidR="00574343">
        <w:rPr>
          <w:rFonts w:ascii="Times New Roman" w:hAnsi="Times New Roman"/>
          <w:sz w:val="20"/>
        </w:rPr>
        <w:t>u</w:t>
      </w:r>
      <w:r>
        <w:rPr>
          <w:rFonts w:ascii="Times New Roman" w:hAnsi="Times New Roman"/>
          <w:sz w:val="20"/>
        </w:rPr>
        <w:t>encies</w:t>
      </w:r>
      <w:r w:rsidR="00574343">
        <w:rPr>
          <w:rFonts w:ascii="Times New Roman" w:hAnsi="Times New Roman"/>
          <w:sz w:val="20"/>
        </w:rPr>
        <w:t xml:space="preserve"> supported by each frequency range.</w:t>
      </w:r>
      <w:r w:rsidR="0007481C">
        <w:rPr>
          <w:rFonts w:ascii="Times New Roman" w:hAnsi="Times New Roman"/>
          <w:sz w:val="20"/>
        </w:rPr>
        <w:t xml:space="preserve"> </w:t>
      </w:r>
      <w:r w:rsidR="001C0A52">
        <w:rPr>
          <w:rFonts w:ascii="Times New Roman" w:hAnsi="Times New Roman"/>
          <w:sz w:val="20"/>
        </w:rPr>
        <w:t>For the latter</w:t>
      </w:r>
      <w:r w:rsidR="00113CCD">
        <w:rPr>
          <w:rFonts w:ascii="Times New Roman" w:hAnsi="Times New Roman"/>
          <w:sz w:val="20"/>
        </w:rPr>
        <w:t xml:space="preserve"> starting from low</w:t>
      </w:r>
      <w:r w:rsidR="00B951CA">
        <w:rPr>
          <w:rFonts w:ascii="Times New Roman" w:hAnsi="Times New Roman"/>
          <w:sz w:val="20"/>
        </w:rPr>
        <w:t xml:space="preserve"> frequencies</w:t>
      </w:r>
      <w:r w:rsidR="001C0A52">
        <w:rPr>
          <w:rFonts w:ascii="Times New Roman" w:hAnsi="Times New Roman"/>
          <w:sz w:val="20"/>
        </w:rPr>
        <w:t xml:space="preserve">, one </w:t>
      </w:r>
      <w:r w:rsidR="00263535">
        <w:rPr>
          <w:rFonts w:ascii="Times New Roman" w:hAnsi="Times New Roman"/>
          <w:sz w:val="20"/>
        </w:rPr>
        <w:t xml:space="preserve">example </w:t>
      </w:r>
      <w:r w:rsidR="001C0A52">
        <w:rPr>
          <w:rFonts w:ascii="Times New Roman" w:hAnsi="Times New Roman"/>
          <w:sz w:val="20"/>
        </w:rPr>
        <w:t xml:space="preserve">way </w:t>
      </w:r>
      <w:r w:rsidR="00040929">
        <w:rPr>
          <w:rFonts w:ascii="Times New Roman" w:hAnsi="Times New Roman"/>
          <w:sz w:val="20"/>
        </w:rPr>
        <w:t>could be to consider extension</w:t>
      </w:r>
      <w:r w:rsidR="00941AE9">
        <w:rPr>
          <w:rFonts w:ascii="Times New Roman" w:hAnsi="Times New Roman"/>
          <w:sz w:val="20"/>
        </w:rPr>
        <w:t xml:space="preserve"> of the</w:t>
      </w:r>
      <w:r w:rsidR="00A27497">
        <w:rPr>
          <w:rFonts w:ascii="Times New Roman" w:hAnsi="Times New Roman"/>
          <w:sz w:val="20"/>
        </w:rPr>
        <w:t xml:space="preserve"> range which was named FR1 in 5G</w:t>
      </w:r>
      <w:r w:rsidR="00941AE9">
        <w:rPr>
          <w:rFonts w:ascii="Times New Roman" w:hAnsi="Times New Roman"/>
          <w:sz w:val="20"/>
        </w:rPr>
        <w:t xml:space="preserve"> by up to the </w:t>
      </w:r>
      <w:r w:rsidR="00FE746D">
        <w:rPr>
          <w:rFonts w:ascii="Times New Roman" w:hAnsi="Times New Roman"/>
          <w:sz w:val="20"/>
        </w:rPr>
        <w:t>limit where devices are still implemented in “FR1 style</w:t>
      </w:r>
      <w:r w:rsidR="00756279">
        <w:rPr>
          <w:rFonts w:ascii="Times New Roman" w:hAnsi="Times New Roman"/>
          <w:sz w:val="20"/>
        </w:rPr>
        <w:t xml:space="preserve">” i.e. using omnidirectional antennas. </w:t>
      </w:r>
      <w:r w:rsidR="00E63BD7">
        <w:rPr>
          <w:rFonts w:ascii="Times New Roman" w:hAnsi="Times New Roman"/>
          <w:sz w:val="20"/>
        </w:rPr>
        <w:t xml:space="preserve">Another </w:t>
      </w:r>
      <w:r w:rsidR="00263535">
        <w:rPr>
          <w:rFonts w:ascii="Times New Roman" w:hAnsi="Times New Roman"/>
          <w:sz w:val="20"/>
        </w:rPr>
        <w:t xml:space="preserve">example </w:t>
      </w:r>
      <w:r w:rsidR="00E63BD7">
        <w:rPr>
          <w:rFonts w:ascii="Times New Roman" w:hAnsi="Times New Roman"/>
          <w:sz w:val="20"/>
        </w:rPr>
        <w:t xml:space="preserve">way </w:t>
      </w:r>
      <w:r w:rsidR="00F33D4C">
        <w:rPr>
          <w:rFonts w:ascii="Times New Roman" w:hAnsi="Times New Roman"/>
          <w:sz w:val="20"/>
        </w:rPr>
        <w:t xml:space="preserve">could be to consider </w:t>
      </w:r>
      <w:r w:rsidR="00616701">
        <w:rPr>
          <w:rFonts w:ascii="Times New Roman" w:hAnsi="Times New Roman"/>
          <w:sz w:val="20"/>
        </w:rPr>
        <w:t>~</w:t>
      </w:r>
      <w:r w:rsidR="00F33D4C">
        <w:rPr>
          <w:rFonts w:ascii="Times New Roman" w:hAnsi="Times New Roman"/>
          <w:sz w:val="20"/>
        </w:rPr>
        <w:t>6-8GHz as new FR, given that</w:t>
      </w:r>
      <w:r w:rsidR="00AA50A8">
        <w:rPr>
          <w:rFonts w:ascii="Times New Roman" w:hAnsi="Times New Roman"/>
          <w:sz w:val="20"/>
        </w:rPr>
        <w:t xml:space="preserve"> </w:t>
      </w:r>
      <w:r w:rsidR="00116799">
        <w:rPr>
          <w:rFonts w:ascii="Times New Roman" w:hAnsi="Times New Roman"/>
          <w:sz w:val="20"/>
        </w:rPr>
        <w:t>th</w:t>
      </w:r>
      <w:r w:rsidR="00AA50A8">
        <w:rPr>
          <w:rFonts w:ascii="Times New Roman" w:hAnsi="Times New Roman"/>
          <w:sz w:val="20"/>
        </w:rPr>
        <w:t>e</w:t>
      </w:r>
      <w:r w:rsidR="00116799">
        <w:rPr>
          <w:rFonts w:ascii="Times New Roman" w:hAnsi="Times New Roman"/>
          <w:sz w:val="20"/>
        </w:rPr>
        <w:t xml:space="preserve"> band n104 which spans from 6.425GHz to 7.125GHz has not been deployed as 5G band but is </w:t>
      </w:r>
      <w:r w:rsidR="00AA50A8">
        <w:rPr>
          <w:rFonts w:ascii="Times New Roman" w:hAnsi="Times New Roman"/>
          <w:sz w:val="20"/>
        </w:rPr>
        <w:t xml:space="preserve">very promising frequency for 6G. </w:t>
      </w:r>
      <w:r w:rsidR="00001EE0">
        <w:rPr>
          <w:rFonts w:ascii="Times New Roman" w:hAnsi="Times New Roman"/>
          <w:sz w:val="20"/>
        </w:rPr>
        <w:t xml:space="preserve">The baseline implementation for this range/these ranges </w:t>
      </w:r>
      <w:r w:rsidR="00BC42C6">
        <w:rPr>
          <w:rFonts w:ascii="Times New Roman" w:hAnsi="Times New Roman"/>
          <w:sz w:val="20"/>
        </w:rPr>
        <w:t xml:space="preserve">is based on </w:t>
      </w:r>
      <w:r w:rsidR="00AB2269">
        <w:rPr>
          <w:rFonts w:ascii="Times New Roman" w:hAnsi="Times New Roman"/>
          <w:sz w:val="20"/>
        </w:rPr>
        <w:t xml:space="preserve">assumption that </w:t>
      </w:r>
      <w:r w:rsidR="004E6C0C">
        <w:rPr>
          <w:rFonts w:ascii="Times New Roman" w:hAnsi="Times New Roman"/>
          <w:sz w:val="20"/>
        </w:rPr>
        <w:t>the conducted performance wan be verified from antenna connectors</w:t>
      </w:r>
      <w:r w:rsidR="00AB2269">
        <w:rPr>
          <w:rFonts w:ascii="Times New Roman" w:hAnsi="Times New Roman"/>
          <w:sz w:val="20"/>
        </w:rPr>
        <w:t xml:space="preserve"> like in 5G FR1.</w:t>
      </w:r>
      <w:r w:rsidR="00BC42C6">
        <w:rPr>
          <w:rFonts w:ascii="Times New Roman" w:hAnsi="Times New Roman"/>
          <w:sz w:val="20"/>
        </w:rPr>
        <w:t xml:space="preserve"> </w:t>
      </w:r>
    </w:p>
    <w:p w14:paraId="13CA4561" w14:textId="77777777" w:rsidR="00B951CA" w:rsidRDefault="005765CA" w:rsidP="00574343">
      <w:pPr>
        <w:pStyle w:val="Heading2"/>
        <w:ind w:left="0" w:firstLine="0"/>
        <w:rPr>
          <w:rFonts w:ascii="Times New Roman" w:hAnsi="Times New Roman"/>
          <w:sz w:val="20"/>
        </w:rPr>
      </w:pPr>
      <w:r>
        <w:rPr>
          <w:rFonts w:ascii="Times New Roman" w:hAnsi="Times New Roman"/>
          <w:sz w:val="20"/>
        </w:rPr>
        <w:t xml:space="preserve">It could be meaningful to maintain </w:t>
      </w:r>
      <w:r w:rsidR="00415081">
        <w:rPr>
          <w:rFonts w:ascii="Times New Roman" w:hAnsi="Times New Roman"/>
          <w:sz w:val="20"/>
        </w:rPr>
        <w:t>the frequency ranges set for FR2</w:t>
      </w:r>
      <w:r w:rsidR="004F73C5">
        <w:rPr>
          <w:rFonts w:ascii="Times New Roman" w:hAnsi="Times New Roman"/>
          <w:sz w:val="20"/>
        </w:rPr>
        <w:t xml:space="preserve"> as there the likely implementation assumption is beamforming</w:t>
      </w:r>
      <w:r w:rsidR="00B03141">
        <w:rPr>
          <w:rFonts w:ascii="Times New Roman" w:hAnsi="Times New Roman"/>
          <w:sz w:val="20"/>
        </w:rPr>
        <w:t>. The range</w:t>
      </w:r>
      <w:r w:rsidR="00F07DA8">
        <w:rPr>
          <w:rFonts w:ascii="Times New Roman" w:hAnsi="Times New Roman"/>
          <w:sz w:val="20"/>
        </w:rPr>
        <w:t xml:space="preserve"> in between the “FR1 like” and “FR2”</w:t>
      </w:r>
      <w:r w:rsidR="00B03141">
        <w:rPr>
          <w:rFonts w:ascii="Times New Roman" w:hAnsi="Times New Roman"/>
          <w:sz w:val="20"/>
        </w:rPr>
        <w:t xml:space="preserve"> </w:t>
      </w:r>
      <w:r w:rsidR="00800A77">
        <w:rPr>
          <w:rFonts w:ascii="Times New Roman" w:hAnsi="Times New Roman"/>
          <w:sz w:val="20"/>
        </w:rPr>
        <w:t>allows more tha</w:t>
      </w:r>
      <w:r w:rsidR="000D252D">
        <w:rPr>
          <w:rFonts w:ascii="Times New Roman" w:hAnsi="Times New Roman"/>
          <w:sz w:val="20"/>
        </w:rPr>
        <w:t>n</w:t>
      </w:r>
      <w:r w:rsidR="00800A77">
        <w:rPr>
          <w:rFonts w:ascii="Times New Roman" w:hAnsi="Times New Roman"/>
          <w:sz w:val="20"/>
        </w:rPr>
        <w:t xml:space="preserve"> one baseline implementation (omnidirectional</w:t>
      </w:r>
      <w:r w:rsidR="004F73C5">
        <w:rPr>
          <w:rFonts w:ascii="Times New Roman" w:hAnsi="Times New Roman"/>
          <w:sz w:val="20"/>
        </w:rPr>
        <w:t>, directional)</w:t>
      </w:r>
      <w:r w:rsidR="00135494">
        <w:rPr>
          <w:rFonts w:ascii="Times New Roman" w:hAnsi="Times New Roman"/>
          <w:sz w:val="20"/>
        </w:rPr>
        <w:t xml:space="preserve"> depending on the exact frequency and use case</w:t>
      </w:r>
      <w:r w:rsidR="004F73C5">
        <w:rPr>
          <w:rFonts w:ascii="Times New Roman" w:hAnsi="Times New Roman"/>
          <w:sz w:val="20"/>
        </w:rPr>
        <w:t>.</w:t>
      </w:r>
      <w:r w:rsidR="001F4C2E">
        <w:rPr>
          <w:rFonts w:ascii="Times New Roman" w:hAnsi="Times New Roman"/>
          <w:sz w:val="20"/>
        </w:rPr>
        <w:t xml:space="preserve"> </w:t>
      </w:r>
    </w:p>
    <w:p w14:paraId="4B5F6F5E" w14:textId="1399F149" w:rsidR="00F8595E" w:rsidRDefault="001F4C2E" w:rsidP="00574343">
      <w:pPr>
        <w:pStyle w:val="Heading2"/>
        <w:ind w:left="0" w:firstLine="0"/>
        <w:rPr>
          <w:rFonts w:ascii="Times New Roman" w:hAnsi="Times New Roman"/>
          <w:sz w:val="20"/>
        </w:rPr>
      </w:pPr>
      <w:r>
        <w:rPr>
          <w:rFonts w:ascii="Times New Roman" w:hAnsi="Times New Roman"/>
          <w:sz w:val="20"/>
        </w:rPr>
        <w:t xml:space="preserve">In our view, there is no urgency to </w:t>
      </w:r>
      <w:r w:rsidR="00531219">
        <w:rPr>
          <w:rFonts w:ascii="Times New Roman" w:hAnsi="Times New Roman"/>
          <w:sz w:val="20"/>
        </w:rPr>
        <w:t xml:space="preserve">agree the exact frequency ranges and naming conventions especially because the regulatory work is on-going which will impact to applicable frequencies. </w:t>
      </w:r>
      <w:r w:rsidR="00AA1FC8">
        <w:rPr>
          <w:rFonts w:ascii="Times New Roman" w:hAnsi="Times New Roman"/>
          <w:sz w:val="20"/>
        </w:rPr>
        <w:t>Meanwhile, these aspects can be studied.</w:t>
      </w:r>
    </w:p>
    <w:p w14:paraId="6AE884FF" w14:textId="4E9FAA27" w:rsidR="00AA1FC8" w:rsidRDefault="004F3E9A" w:rsidP="00AA1FC8">
      <w:pPr>
        <w:rPr>
          <w:b/>
          <w:bCs/>
        </w:rPr>
      </w:pPr>
      <w:r>
        <w:rPr>
          <w:b/>
          <w:bCs/>
          <w:lang w:eastAsia="en-US"/>
        </w:rPr>
        <w:t>Observation</w:t>
      </w:r>
      <w:r w:rsidR="009C760E">
        <w:rPr>
          <w:b/>
          <w:bCs/>
          <w:lang w:eastAsia="en-US"/>
        </w:rPr>
        <w:t xml:space="preserve"> 2.3-1</w:t>
      </w:r>
      <w:r w:rsidR="00AA1FC8" w:rsidRPr="009500B8">
        <w:rPr>
          <w:b/>
          <w:bCs/>
          <w:lang w:eastAsia="en-US"/>
        </w:rPr>
        <w:t xml:space="preserve">: </w:t>
      </w:r>
      <w:r w:rsidR="009500B8" w:rsidRPr="009500B8">
        <w:rPr>
          <w:b/>
          <w:bCs/>
        </w:rPr>
        <w:t xml:space="preserve">The study on frequency ranges </w:t>
      </w:r>
      <w:r w:rsidR="00155D95">
        <w:rPr>
          <w:b/>
          <w:bCs/>
        </w:rPr>
        <w:t>includes</w:t>
      </w:r>
      <w:r w:rsidR="009500B8" w:rsidRPr="009500B8">
        <w:rPr>
          <w:b/>
          <w:bCs/>
        </w:rPr>
        <w:t xml:space="preserve"> two parts; naming conventions and the actual frequencies supported by each frequency range</w:t>
      </w:r>
    </w:p>
    <w:p w14:paraId="4E9FB7F5" w14:textId="104C6BD1" w:rsidR="0019676D" w:rsidRDefault="0019676D" w:rsidP="00AA1FC8">
      <w:pPr>
        <w:rPr>
          <w:b/>
          <w:bCs/>
        </w:rPr>
      </w:pPr>
      <w:r>
        <w:rPr>
          <w:b/>
          <w:bCs/>
        </w:rPr>
        <w:t>Proposal</w:t>
      </w:r>
      <w:r w:rsidR="009C760E">
        <w:rPr>
          <w:b/>
          <w:bCs/>
        </w:rPr>
        <w:t xml:space="preserve"> 2.3-1</w:t>
      </w:r>
      <w:r w:rsidR="002848CD">
        <w:rPr>
          <w:b/>
          <w:bCs/>
        </w:rPr>
        <w:t xml:space="preserve">: Study the </w:t>
      </w:r>
      <w:r w:rsidR="005B2BA8">
        <w:rPr>
          <w:b/>
          <w:bCs/>
        </w:rPr>
        <w:t xml:space="preserve">naming conventions and </w:t>
      </w:r>
      <w:r w:rsidR="002848CD">
        <w:rPr>
          <w:b/>
          <w:bCs/>
        </w:rPr>
        <w:t xml:space="preserve">boundaries for the frequency ranges </w:t>
      </w:r>
      <w:r w:rsidR="00687CE6">
        <w:rPr>
          <w:b/>
          <w:bCs/>
        </w:rPr>
        <w:t>ac</w:t>
      </w:r>
      <w:r w:rsidR="007850FF">
        <w:rPr>
          <w:b/>
          <w:bCs/>
        </w:rPr>
        <w:t xml:space="preserve">counting </w:t>
      </w:r>
      <w:r w:rsidR="00B80BBD">
        <w:rPr>
          <w:b/>
          <w:bCs/>
        </w:rPr>
        <w:t>the frequencies</w:t>
      </w:r>
      <w:r w:rsidR="0056196B">
        <w:rPr>
          <w:b/>
          <w:bCs/>
        </w:rPr>
        <w:t xml:space="preserve"> used first time in 6G and </w:t>
      </w:r>
      <w:r w:rsidR="0064670F">
        <w:rPr>
          <w:b/>
          <w:bCs/>
        </w:rPr>
        <w:t>the outcomes of the ongoing regulatory work</w:t>
      </w:r>
    </w:p>
    <w:p w14:paraId="1BF329DF" w14:textId="74CC0AD8" w:rsidR="00AF3922" w:rsidRDefault="009464E9" w:rsidP="00F8595E">
      <w:pPr>
        <w:pStyle w:val="Heading2"/>
      </w:pPr>
      <w:r>
        <w:t>2.</w:t>
      </w:r>
      <w:r w:rsidR="003027B0">
        <w:t>4</w:t>
      </w:r>
      <w:r w:rsidR="00AF3922">
        <w:tab/>
        <w:t>Irregular Bandwidth</w:t>
      </w:r>
      <w:r w:rsidR="00204C76">
        <w:t>s for 6GR</w:t>
      </w:r>
    </w:p>
    <w:p w14:paraId="63717EFF" w14:textId="0584A0AA" w:rsidR="00317E33" w:rsidRDefault="00D2696E" w:rsidP="00C54A93">
      <w:pPr>
        <w:rPr>
          <w:lang w:eastAsia="en-US"/>
        </w:rPr>
      </w:pPr>
      <w:r>
        <w:rPr>
          <w:lang w:eastAsia="en-US"/>
        </w:rPr>
        <w:t xml:space="preserve">In 5G, the </w:t>
      </w:r>
      <w:r w:rsidR="008F3739">
        <w:rPr>
          <w:lang w:eastAsia="en-US"/>
        </w:rPr>
        <w:t xml:space="preserve">said irregular </w:t>
      </w:r>
      <w:r w:rsidR="007A0F5A">
        <w:rPr>
          <w:lang w:eastAsia="en-US"/>
        </w:rPr>
        <w:t>bandwidth</w:t>
      </w:r>
      <w:r w:rsidR="008F3739">
        <w:rPr>
          <w:lang w:eastAsia="en-US"/>
        </w:rPr>
        <w:t>s are 3MHz, 6MHz, and 7MHz</w:t>
      </w:r>
      <w:r w:rsidR="00B143BF">
        <w:rPr>
          <w:lang w:eastAsia="en-US"/>
        </w:rPr>
        <w:t xml:space="preserve"> accounting developments up to Rel-20</w:t>
      </w:r>
      <w:r w:rsidR="008F3739">
        <w:rPr>
          <w:lang w:eastAsia="en-US"/>
        </w:rPr>
        <w:t xml:space="preserve">. </w:t>
      </w:r>
      <w:r w:rsidR="00467064">
        <w:rPr>
          <w:lang w:eastAsia="en-US"/>
        </w:rPr>
        <w:t>Especially the agreement to specify 7MHz as first irregular</w:t>
      </w:r>
      <w:r w:rsidR="007C2D94">
        <w:rPr>
          <w:lang w:eastAsia="en-US"/>
        </w:rPr>
        <w:t xml:space="preserve"> BW between the existing BW’s (5MHz and 10MHz) took several years</w:t>
      </w:r>
      <w:r w:rsidR="001D12E4">
        <w:rPr>
          <w:lang w:eastAsia="en-US"/>
        </w:rPr>
        <w:t>.</w:t>
      </w:r>
      <w:r w:rsidR="008B263C">
        <w:rPr>
          <w:lang w:eastAsia="en-US"/>
        </w:rPr>
        <w:t xml:space="preserve"> </w:t>
      </w:r>
      <w:r w:rsidR="001D12E4">
        <w:rPr>
          <w:lang w:eastAsia="en-US"/>
        </w:rPr>
        <w:t>T</w:t>
      </w:r>
      <w:r w:rsidR="008B263C">
        <w:rPr>
          <w:lang w:eastAsia="en-US"/>
        </w:rPr>
        <w:t xml:space="preserve">here was a dedicated </w:t>
      </w:r>
      <w:r w:rsidR="00DA799B">
        <w:rPr>
          <w:lang w:eastAsia="en-US"/>
        </w:rPr>
        <w:t xml:space="preserve">Rel-17 </w:t>
      </w:r>
      <w:r w:rsidR="008B263C">
        <w:rPr>
          <w:lang w:eastAsia="en-US"/>
        </w:rPr>
        <w:t>study how to handle irregular spectrum</w:t>
      </w:r>
      <w:r w:rsidR="009E6FC0">
        <w:rPr>
          <w:lang w:eastAsia="en-US"/>
        </w:rPr>
        <w:t xml:space="preserve"> without clear conclusion</w:t>
      </w:r>
      <w:r w:rsidR="008B263C">
        <w:rPr>
          <w:lang w:eastAsia="en-US"/>
        </w:rPr>
        <w:t xml:space="preserve">, then </w:t>
      </w:r>
      <w:r w:rsidR="009E6FC0">
        <w:rPr>
          <w:lang w:eastAsia="en-US"/>
        </w:rPr>
        <w:t>after one release in between it was eventually agreed to be specified</w:t>
      </w:r>
      <w:r w:rsidR="00DA799B">
        <w:rPr>
          <w:lang w:eastAsia="en-US"/>
        </w:rPr>
        <w:t xml:space="preserve"> in Rel-19</w:t>
      </w:r>
      <w:r w:rsidR="009E6FC0">
        <w:rPr>
          <w:lang w:eastAsia="en-US"/>
        </w:rPr>
        <w:t xml:space="preserve">. </w:t>
      </w:r>
      <w:r w:rsidR="00063029">
        <w:rPr>
          <w:lang w:eastAsia="en-US"/>
        </w:rPr>
        <w:t>All in all,</w:t>
      </w:r>
      <w:r w:rsidR="00E672AD">
        <w:rPr>
          <w:lang w:eastAsia="en-US"/>
        </w:rPr>
        <w:t xml:space="preserve"> it turned ou</w:t>
      </w:r>
      <w:r w:rsidR="007D3415">
        <w:rPr>
          <w:lang w:eastAsia="en-US"/>
        </w:rPr>
        <w:t>t</w:t>
      </w:r>
      <w:r w:rsidR="00E672AD">
        <w:rPr>
          <w:lang w:eastAsia="en-US"/>
        </w:rPr>
        <w:t xml:space="preserve"> to be </w:t>
      </w:r>
      <w:r w:rsidR="00BE0E21">
        <w:rPr>
          <w:lang w:eastAsia="en-US"/>
        </w:rPr>
        <w:t>challenging</w:t>
      </w:r>
      <w:r w:rsidR="00E672AD">
        <w:rPr>
          <w:lang w:eastAsia="en-US"/>
        </w:rPr>
        <w:t xml:space="preserve"> to add new irregular bandwidths. </w:t>
      </w:r>
      <w:r w:rsidR="00913B13">
        <w:rPr>
          <w:lang w:eastAsia="en-US"/>
        </w:rPr>
        <w:t>In our understanding RAN/RAN1 will consider the minimum support</w:t>
      </w:r>
      <w:r w:rsidR="00E752A2">
        <w:rPr>
          <w:lang w:eastAsia="en-US"/>
        </w:rPr>
        <w:t>e</w:t>
      </w:r>
      <w:r w:rsidR="00913B13">
        <w:rPr>
          <w:lang w:eastAsia="en-US"/>
        </w:rPr>
        <w:t>d BW for 6G</w:t>
      </w:r>
      <w:r w:rsidR="00E752A2">
        <w:rPr>
          <w:lang w:eastAsia="en-US"/>
        </w:rPr>
        <w:t>, which RAN4 should obviously account</w:t>
      </w:r>
      <w:r w:rsidR="008C7566">
        <w:rPr>
          <w:lang w:eastAsia="en-US"/>
        </w:rPr>
        <w:t xml:space="preserve"> as naturally RAN4 cannot consider any smaller BW’s than that.</w:t>
      </w:r>
      <w:r w:rsidR="00E752A2">
        <w:rPr>
          <w:lang w:eastAsia="en-US"/>
        </w:rPr>
        <w:t xml:space="preserve"> </w:t>
      </w:r>
    </w:p>
    <w:p w14:paraId="5201C708" w14:textId="068006D8" w:rsidR="007920C5" w:rsidRDefault="007920C5" w:rsidP="00C54A93">
      <w:pPr>
        <w:rPr>
          <w:lang w:eastAsia="en-US"/>
        </w:rPr>
      </w:pPr>
      <w:r>
        <w:rPr>
          <w:lang w:eastAsia="en-US"/>
        </w:rPr>
        <w:t>For 6G, the concept</w:t>
      </w:r>
      <w:r w:rsidR="00710162">
        <w:rPr>
          <w:rFonts w:hint="eastAsia"/>
          <w:lang w:eastAsia="ja-JP"/>
        </w:rPr>
        <w:t xml:space="preserve">/framework </w:t>
      </w:r>
      <w:r>
        <w:rPr>
          <w:lang w:eastAsia="en-US"/>
        </w:rPr>
        <w:t xml:space="preserve"> </w:t>
      </w:r>
      <w:r w:rsidR="00710162">
        <w:rPr>
          <w:rFonts w:hint="eastAsia"/>
          <w:lang w:eastAsia="ja-JP"/>
        </w:rPr>
        <w:t>for support</w:t>
      </w:r>
      <w:r w:rsidR="00BA5797">
        <w:rPr>
          <w:rFonts w:hint="eastAsia"/>
          <w:lang w:eastAsia="ja-JP"/>
        </w:rPr>
        <w:t>ing</w:t>
      </w:r>
      <w:r>
        <w:rPr>
          <w:lang w:eastAsia="en-US"/>
        </w:rPr>
        <w:t xml:space="preserve"> irregular </w:t>
      </w:r>
      <w:r w:rsidR="00B975B8">
        <w:rPr>
          <w:lang w:eastAsia="en-US"/>
        </w:rPr>
        <w:t>bandwidths</w:t>
      </w:r>
      <w:r w:rsidR="00BA5797">
        <w:rPr>
          <w:rFonts w:hint="eastAsia"/>
          <w:lang w:eastAsia="ja-JP"/>
        </w:rPr>
        <w:t>,</w:t>
      </w:r>
      <w:r w:rsidR="00B975B8">
        <w:rPr>
          <w:lang w:eastAsia="en-US"/>
        </w:rPr>
        <w:t xml:space="preserve"> including the granularity and how the respective requirements are specified</w:t>
      </w:r>
      <w:r w:rsidR="00BA5797">
        <w:rPr>
          <w:rFonts w:hint="eastAsia"/>
          <w:lang w:eastAsia="ja-JP"/>
        </w:rPr>
        <w:t>,</w:t>
      </w:r>
      <w:r w:rsidR="00317E33">
        <w:rPr>
          <w:lang w:eastAsia="en-US"/>
        </w:rPr>
        <w:t xml:space="preserve"> should be carefully studied from the beginning. </w:t>
      </w:r>
    </w:p>
    <w:p w14:paraId="0DDC63F0" w14:textId="099AE30A" w:rsidR="003A1F42" w:rsidRPr="000A2B64" w:rsidRDefault="003A1F42" w:rsidP="00C54A93">
      <w:pPr>
        <w:rPr>
          <w:b/>
          <w:bCs/>
          <w:i/>
          <w:iCs/>
          <w:lang w:eastAsia="en-US"/>
        </w:rPr>
      </w:pPr>
      <w:r w:rsidRPr="000A2B64">
        <w:rPr>
          <w:b/>
          <w:bCs/>
          <w:lang w:eastAsia="en-US"/>
        </w:rPr>
        <w:t>Proposal</w:t>
      </w:r>
      <w:r w:rsidR="009C760E">
        <w:rPr>
          <w:b/>
          <w:bCs/>
          <w:lang w:eastAsia="en-US"/>
        </w:rPr>
        <w:t xml:space="preserve"> 2.4-1</w:t>
      </w:r>
      <w:r w:rsidRPr="000A2B64">
        <w:rPr>
          <w:b/>
          <w:bCs/>
          <w:lang w:eastAsia="en-US"/>
        </w:rPr>
        <w:t>: The concept</w:t>
      </w:r>
      <w:r w:rsidR="00BA5797">
        <w:rPr>
          <w:rFonts w:hint="eastAsia"/>
          <w:b/>
          <w:bCs/>
          <w:lang w:eastAsia="ja-JP"/>
        </w:rPr>
        <w:t>/framework</w:t>
      </w:r>
      <w:r w:rsidRPr="000A2B64">
        <w:rPr>
          <w:b/>
          <w:bCs/>
          <w:lang w:eastAsia="en-US"/>
        </w:rPr>
        <w:t xml:space="preserve"> </w:t>
      </w:r>
      <w:r w:rsidR="00BA5797">
        <w:rPr>
          <w:rFonts w:hint="eastAsia"/>
          <w:b/>
          <w:bCs/>
          <w:lang w:eastAsia="ja-JP"/>
        </w:rPr>
        <w:t>for</w:t>
      </w:r>
      <w:r w:rsidRPr="000A2B64">
        <w:rPr>
          <w:b/>
          <w:bCs/>
          <w:lang w:eastAsia="en-US"/>
        </w:rPr>
        <w:t xml:space="preserve"> support</w:t>
      </w:r>
      <w:r w:rsidR="00BA5797">
        <w:rPr>
          <w:rFonts w:hint="eastAsia"/>
          <w:b/>
          <w:bCs/>
          <w:lang w:eastAsia="ja-JP"/>
        </w:rPr>
        <w:t>ing</w:t>
      </w:r>
      <w:r w:rsidRPr="000A2B64">
        <w:rPr>
          <w:b/>
          <w:bCs/>
          <w:lang w:eastAsia="en-US"/>
        </w:rPr>
        <w:t xml:space="preserve"> irregular spectrum </w:t>
      </w:r>
      <w:r w:rsidR="00BA5797">
        <w:rPr>
          <w:rFonts w:hint="eastAsia"/>
          <w:b/>
          <w:bCs/>
          <w:lang w:eastAsia="ja-JP"/>
        </w:rPr>
        <w:t xml:space="preserve">holdings </w:t>
      </w:r>
      <w:r w:rsidRPr="000A2B64">
        <w:rPr>
          <w:b/>
          <w:bCs/>
          <w:lang w:eastAsia="en-US"/>
        </w:rPr>
        <w:t>should be</w:t>
      </w:r>
      <w:r w:rsidR="00793DE7">
        <w:rPr>
          <w:b/>
          <w:bCs/>
          <w:lang w:eastAsia="en-US"/>
        </w:rPr>
        <w:t xml:space="preserve"> </w:t>
      </w:r>
      <w:r w:rsidRPr="000A2B64">
        <w:rPr>
          <w:b/>
          <w:bCs/>
          <w:lang w:eastAsia="en-US"/>
        </w:rPr>
        <w:t>studied from the beginning of 6G</w:t>
      </w:r>
      <w:r w:rsidR="00B351EF">
        <w:rPr>
          <w:rFonts w:hint="eastAsia"/>
          <w:b/>
          <w:bCs/>
          <w:lang w:eastAsia="ja-JP"/>
        </w:rPr>
        <w:t>.</w:t>
      </w:r>
    </w:p>
    <w:p w14:paraId="755AEABF" w14:textId="6533F9F0" w:rsidR="00A82F69" w:rsidRDefault="009464E9" w:rsidP="008D616A">
      <w:pPr>
        <w:pStyle w:val="Heading1"/>
      </w:pPr>
      <w:r>
        <w:t>3.</w:t>
      </w:r>
      <w:r>
        <w:tab/>
      </w:r>
      <w:r w:rsidR="00A7413F">
        <w:t>Conclusion</w:t>
      </w:r>
    </w:p>
    <w:p w14:paraId="1A9FD94D" w14:textId="1065B332" w:rsidR="00DE7D74" w:rsidRPr="00DE7D74" w:rsidRDefault="00374437" w:rsidP="00226ADF">
      <w:r>
        <w:t xml:space="preserve">On </w:t>
      </w:r>
      <w:r w:rsidR="00DE7D74" w:rsidRPr="00DE7D74">
        <w:t>Spectrum Regulatory Survey</w:t>
      </w:r>
      <w:r w:rsidR="00526537">
        <w:t xml:space="preserve"> for 6GR</w:t>
      </w:r>
      <w:r>
        <w:t xml:space="preserve"> we observed that</w:t>
      </w:r>
    </w:p>
    <w:p w14:paraId="36FFD76C" w14:textId="6FD4716C" w:rsidR="00DE7D74" w:rsidRPr="00226ADF" w:rsidRDefault="00DE7D74" w:rsidP="00226ADF">
      <w:pPr>
        <w:rPr>
          <w:b/>
          <w:bCs/>
        </w:rPr>
      </w:pPr>
      <w:r w:rsidRPr="00226ADF">
        <w:rPr>
          <w:b/>
          <w:bCs/>
        </w:rPr>
        <w:t>Observation 2.1-1: There are several target candidate bands for 6G, including the upper 6 GHz and the WRC-27 bands currently investigated at ITU-R (i.e. 4400–4800 MHz, 7125–8400 MHz, and 14.8–15.35 GHz). The regulatory discussions for some of these bands are still ongoing</w:t>
      </w:r>
    </w:p>
    <w:p w14:paraId="4F15A4D6" w14:textId="7CD06B2E" w:rsidR="005B62EF" w:rsidRPr="005B62EF" w:rsidRDefault="00526537" w:rsidP="00226ADF">
      <w:r>
        <w:lastRenderedPageBreak/>
        <w:t xml:space="preserve">About bands for 6GR </w:t>
      </w:r>
      <w:r w:rsidR="005B62EF" w:rsidRPr="005B62EF">
        <w:t>Bands</w:t>
      </w:r>
      <w:r>
        <w:t xml:space="preserve"> we made the following proposals</w:t>
      </w:r>
    </w:p>
    <w:p w14:paraId="0C619696" w14:textId="77777777" w:rsidR="005B62EF" w:rsidRPr="00226ADF" w:rsidRDefault="005B62EF" w:rsidP="00226ADF">
      <w:pPr>
        <w:rPr>
          <w:b/>
          <w:bCs/>
        </w:rPr>
      </w:pPr>
      <w:r w:rsidRPr="00226ADF">
        <w:rPr>
          <w:b/>
          <w:bCs/>
        </w:rPr>
        <w:t>Proposal 2.2.1-1: Study and conclude naming conventions for 6G bands including Single Carrier and Intra-band CA as priority.</w:t>
      </w:r>
    </w:p>
    <w:p w14:paraId="16DAC11A" w14:textId="77777777" w:rsidR="005B62EF" w:rsidRPr="00226ADF" w:rsidRDefault="005B62EF" w:rsidP="00226ADF">
      <w:pPr>
        <w:rPr>
          <w:b/>
          <w:bCs/>
        </w:rPr>
      </w:pPr>
      <w:r w:rsidRPr="00226ADF">
        <w:rPr>
          <w:b/>
          <w:bCs/>
        </w:rPr>
        <w:t>Proposal 2.2.1-2: Study the process to migrate requirements of existing 5G bands to 6G band requirements to avoid inefficiencies during WI phase.</w:t>
      </w:r>
    </w:p>
    <w:p w14:paraId="612EB64B" w14:textId="77777777" w:rsidR="005B62EF" w:rsidRPr="00226ADF" w:rsidRDefault="005B62EF" w:rsidP="00226ADF">
      <w:pPr>
        <w:rPr>
          <w:b/>
          <w:bCs/>
        </w:rPr>
      </w:pPr>
      <w:r w:rsidRPr="00226ADF">
        <w:rPr>
          <w:b/>
          <w:bCs/>
        </w:rPr>
        <w:t>Proposal 2.2.1-3: Account regulatory timelines and outcomes in studying the characteristics of 6G bands for new frequencies/regions.</w:t>
      </w:r>
    </w:p>
    <w:p w14:paraId="374CFD37" w14:textId="0BB46AD2" w:rsidR="005B62EF" w:rsidRPr="005B62EF" w:rsidRDefault="00C97EF0" w:rsidP="00226ADF">
      <w:r>
        <w:t xml:space="preserve">For </w:t>
      </w:r>
      <w:r w:rsidR="005B62EF" w:rsidRPr="005B62EF">
        <w:t>Band Combination Definition and Simplification</w:t>
      </w:r>
      <w:r w:rsidR="00526537">
        <w:t xml:space="preserve"> for 6GR</w:t>
      </w:r>
      <w:r>
        <w:t xml:space="preserve"> we proposed the </w:t>
      </w:r>
      <w:r w:rsidR="000C5984">
        <w:t>following</w:t>
      </w:r>
    </w:p>
    <w:p w14:paraId="1F9AFF06" w14:textId="77777777" w:rsidR="005B62EF" w:rsidRPr="00226ADF" w:rsidRDefault="005B62EF" w:rsidP="00226ADF">
      <w:pPr>
        <w:rPr>
          <w:b/>
          <w:bCs/>
        </w:rPr>
      </w:pPr>
      <w:r w:rsidRPr="00226ADF">
        <w:rPr>
          <w:b/>
          <w:bCs/>
        </w:rPr>
        <w:t>Proposal 2.2.2-1: Pending RAN/RAN1 outcomes, study how to specify band combinations in a simple way, avoiding duplicate tables for CA, Dual Connectivity, Dual Stack.</w:t>
      </w:r>
    </w:p>
    <w:p w14:paraId="18364D11" w14:textId="77777777" w:rsidR="005B62EF" w:rsidRPr="00226ADF" w:rsidRDefault="005B62EF" w:rsidP="00226ADF">
      <w:pPr>
        <w:rPr>
          <w:b/>
          <w:bCs/>
        </w:rPr>
      </w:pPr>
      <w:r w:rsidRPr="00226ADF">
        <w:rPr>
          <w:b/>
          <w:bCs/>
        </w:rPr>
        <w:t>Proposal 2.2.2-2: Study whether specifying all permutations for band combinations is still suitable, or if simplification is possible.</w:t>
      </w:r>
    </w:p>
    <w:p w14:paraId="76374E61" w14:textId="23D442A6" w:rsidR="005B62EF" w:rsidRPr="00226ADF" w:rsidRDefault="005B62EF" w:rsidP="00226ADF">
      <w:pPr>
        <w:rPr>
          <w:b/>
          <w:bCs/>
        </w:rPr>
      </w:pPr>
      <w:r w:rsidRPr="00226ADF">
        <w:rPr>
          <w:b/>
          <w:bCs/>
        </w:rPr>
        <w:t xml:space="preserve">Proposal 2.2.2-3: </w:t>
      </w:r>
      <w:r w:rsidR="002A2DAA">
        <w:rPr>
          <w:b/>
          <w:bCs/>
        </w:rPr>
        <w:t>Study</w:t>
      </w:r>
      <w:r w:rsidRPr="00226ADF">
        <w:rPr>
          <w:b/>
          <w:bCs/>
        </w:rPr>
        <w:t xml:space="preserve"> if ∆T</w:t>
      </w:r>
      <w:r w:rsidRPr="00226ADF">
        <w:rPr>
          <w:b/>
          <w:bCs/>
          <w:vertAlign w:val="subscript"/>
        </w:rPr>
        <w:t>IB</w:t>
      </w:r>
      <w:r w:rsidRPr="00226ADF">
        <w:rPr>
          <w:b/>
          <w:bCs/>
        </w:rPr>
        <w:t xml:space="preserve"> and ∆R</w:t>
      </w:r>
      <w:r w:rsidRPr="00226ADF">
        <w:rPr>
          <w:b/>
          <w:bCs/>
          <w:vertAlign w:val="subscript"/>
        </w:rPr>
        <w:t>IB</w:t>
      </w:r>
      <w:r w:rsidRPr="00226ADF">
        <w:rPr>
          <w:b/>
          <w:bCs/>
        </w:rPr>
        <w:t xml:space="preserve"> </w:t>
      </w:r>
      <w:r w:rsidR="00A57C58">
        <w:rPr>
          <w:b/>
          <w:bCs/>
        </w:rPr>
        <w:t>are</w:t>
      </w:r>
      <w:r w:rsidRPr="00226ADF">
        <w:rPr>
          <w:b/>
          <w:bCs/>
        </w:rPr>
        <w:t xml:space="preserve"> still needed, or if they could be discontinued in 6G. If </w:t>
      </w:r>
      <w:r w:rsidR="002A2DAA">
        <w:rPr>
          <w:b/>
          <w:bCs/>
        </w:rPr>
        <w:t xml:space="preserve">one or both </w:t>
      </w:r>
      <w:r w:rsidR="00532F76">
        <w:rPr>
          <w:b/>
          <w:bCs/>
        </w:rPr>
        <w:t xml:space="preserve">are </w:t>
      </w:r>
      <w:r w:rsidRPr="00226ADF">
        <w:rPr>
          <w:b/>
          <w:bCs/>
        </w:rPr>
        <w:t>needed, study how to specify them using a generic method.</w:t>
      </w:r>
    </w:p>
    <w:p w14:paraId="42C6CAD6" w14:textId="77777777" w:rsidR="005B62EF" w:rsidRPr="00226ADF" w:rsidRDefault="005B62EF" w:rsidP="00226ADF">
      <w:pPr>
        <w:rPr>
          <w:b/>
          <w:bCs/>
        </w:rPr>
      </w:pPr>
      <w:r w:rsidRPr="00226ADF">
        <w:rPr>
          <w:b/>
          <w:bCs/>
        </w:rPr>
        <w:t>Proposal 2.2.2-4: Study how to specify REFSENS exceptions (MSDs) for each Power Class in a more generic way, avoiding band-specific requirements.</w:t>
      </w:r>
    </w:p>
    <w:p w14:paraId="5F604749" w14:textId="7528E1E9" w:rsidR="005B62EF" w:rsidRPr="005B62EF" w:rsidRDefault="005B62EF" w:rsidP="00226ADF">
      <w:r w:rsidRPr="00226ADF">
        <w:rPr>
          <w:b/>
          <w:bCs/>
        </w:rPr>
        <w:t>Proposal 2.2.2-5: Study which kinds of MSD requirements are needed including whether to drop some of the most extreme currently specified cases in 6G</w:t>
      </w:r>
      <w:r w:rsidRPr="005B62EF">
        <w:t>.</w:t>
      </w:r>
    </w:p>
    <w:p w14:paraId="486FD67A" w14:textId="318FC801" w:rsidR="005B62EF" w:rsidRPr="005B62EF" w:rsidRDefault="000C5984" w:rsidP="00226ADF">
      <w:r>
        <w:t xml:space="preserve">For </w:t>
      </w:r>
      <w:r w:rsidR="005B62EF" w:rsidRPr="005B62EF">
        <w:t>Frequency Range</w:t>
      </w:r>
      <w:r>
        <w:t xml:space="preserve"> discussions we </w:t>
      </w:r>
      <w:r w:rsidR="004E6E7E">
        <w:t>observed that</w:t>
      </w:r>
    </w:p>
    <w:p w14:paraId="0583ED5A" w14:textId="003C059B" w:rsidR="005B62EF" w:rsidRPr="00226ADF" w:rsidRDefault="001C3413" w:rsidP="00226ADF">
      <w:pPr>
        <w:rPr>
          <w:b/>
          <w:bCs/>
        </w:rPr>
      </w:pPr>
      <w:r w:rsidRPr="00226ADF">
        <w:rPr>
          <w:b/>
          <w:bCs/>
        </w:rPr>
        <w:t>Observation 2.3-1: The study on frequency ranges includes two parts: naming conventions and the actual frequencies supported by each frequency range.</w:t>
      </w:r>
    </w:p>
    <w:p w14:paraId="33B24B09" w14:textId="52D00368" w:rsidR="00204C76" w:rsidRDefault="00204C76" w:rsidP="00374437">
      <w:r>
        <w:t>And then proposed that</w:t>
      </w:r>
    </w:p>
    <w:p w14:paraId="31353FCE" w14:textId="77777777" w:rsidR="005B62EF" w:rsidRPr="00226ADF" w:rsidRDefault="005B62EF" w:rsidP="00226ADF">
      <w:pPr>
        <w:rPr>
          <w:b/>
          <w:bCs/>
        </w:rPr>
      </w:pPr>
      <w:r w:rsidRPr="00226ADF">
        <w:rPr>
          <w:b/>
          <w:bCs/>
        </w:rPr>
        <w:t>Proposal 2.3-1: Study the naming conventions and boundaries for the frequency ranges, accounting for first-time 6G frequencies and ongoing regulatory outcomes.</w:t>
      </w:r>
    </w:p>
    <w:p w14:paraId="5C3C9692" w14:textId="02DAF58A" w:rsidR="005B62EF" w:rsidRPr="005B62EF" w:rsidRDefault="00204C76" w:rsidP="00226ADF">
      <w:r>
        <w:t xml:space="preserve">For </w:t>
      </w:r>
      <w:r w:rsidR="005B62EF" w:rsidRPr="005B62EF">
        <w:t>Irregular Bandwidth</w:t>
      </w:r>
      <w:r>
        <w:t>s for 6GR we proposed</w:t>
      </w:r>
    </w:p>
    <w:p w14:paraId="41411DA9" w14:textId="77777777" w:rsidR="00DE7D74" w:rsidRDefault="005B62EF" w:rsidP="00226ADF">
      <w:r w:rsidRPr="00226ADF">
        <w:rPr>
          <w:b/>
          <w:bCs/>
        </w:rPr>
        <w:t>Proposal 2.4-1: Study the concept/framework for supporting irregular spectrum holdings from the beginning of 6G</w:t>
      </w:r>
      <w:r w:rsidRPr="005B62EF">
        <w:t xml:space="preserve">. </w:t>
      </w:r>
    </w:p>
    <w:p w14:paraId="0D7DB691" w14:textId="77777777" w:rsidR="00204C76" w:rsidRDefault="00204C76">
      <w:pPr>
        <w:spacing w:after="0"/>
        <w:rPr>
          <w:rFonts w:ascii="Arial" w:hAnsi="Arial"/>
          <w:sz w:val="36"/>
          <w:lang w:eastAsia="en-US"/>
        </w:rPr>
      </w:pPr>
      <w:r>
        <w:br w:type="page"/>
      </w:r>
    </w:p>
    <w:p w14:paraId="13C4F281" w14:textId="73C2A696" w:rsidR="008D616A" w:rsidRDefault="00204C76" w:rsidP="005B62EF">
      <w:pPr>
        <w:pStyle w:val="Heading1"/>
      </w:pPr>
      <w:r>
        <w:lastRenderedPageBreak/>
        <w:t xml:space="preserve">4. </w:t>
      </w:r>
      <w:r>
        <w:tab/>
      </w:r>
      <w:r w:rsidR="008D616A">
        <w:t>References</w:t>
      </w:r>
    </w:p>
    <w:p w14:paraId="58BC20A8" w14:textId="648510C1" w:rsidR="008D616A" w:rsidRDefault="008D616A" w:rsidP="008D616A">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8D616A">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Default="009B16AF" w:rsidP="008D616A">
      <w:pPr>
        <w:pStyle w:val="B10"/>
      </w:pPr>
      <w:r>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7863CC6F" w14:textId="781D1422" w:rsidR="00285788" w:rsidRDefault="00695C99" w:rsidP="008D616A">
      <w:pPr>
        <w:pStyle w:val="B10"/>
      </w:pPr>
      <w:r>
        <w:t>[4]</w:t>
      </w:r>
      <w:r>
        <w:tab/>
        <w:t>R4-2513020, “Qualcomm Views on 6G general and UE RF”, Qualcomm, 3GPP TSG-RAN WG4 Meeting #116bis, Prague, Czech Republic, October 13-17, 2025</w:t>
      </w:r>
    </w:p>
    <w:p w14:paraId="740F8379" w14:textId="77777777" w:rsidR="00832B49" w:rsidRPr="008D616A" w:rsidRDefault="00832B49" w:rsidP="008D616A">
      <w:pPr>
        <w:pStyle w:val="B10"/>
      </w:pP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682773D"/>
    <w:multiLevelType w:val="multilevel"/>
    <w:tmpl w:val="48AA19F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C9C79DC"/>
    <w:multiLevelType w:val="hybridMultilevel"/>
    <w:tmpl w:val="9648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5B96F38"/>
    <w:multiLevelType w:val="hybridMultilevel"/>
    <w:tmpl w:val="FBFEF8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DB23DBE"/>
    <w:multiLevelType w:val="hybridMultilevel"/>
    <w:tmpl w:val="AFFAB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94674DD"/>
    <w:multiLevelType w:val="multilevel"/>
    <w:tmpl w:val="31F0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826F5D"/>
    <w:multiLevelType w:val="hybridMultilevel"/>
    <w:tmpl w:val="E55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702E3A"/>
    <w:multiLevelType w:val="multilevel"/>
    <w:tmpl w:val="2050028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2717994">
    <w:abstractNumId w:val="16"/>
  </w:num>
  <w:num w:numId="2" w16cid:durableId="1437095106">
    <w:abstractNumId w:val="35"/>
  </w:num>
  <w:num w:numId="3" w16cid:durableId="402292199">
    <w:abstractNumId w:val="10"/>
  </w:num>
  <w:num w:numId="4" w16cid:durableId="855727174">
    <w:abstractNumId w:val="24"/>
  </w:num>
  <w:num w:numId="5" w16cid:durableId="1387995662">
    <w:abstractNumId w:val="18"/>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4"/>
  </w:num>
  <w:num w:numId="14" w16cid:durableId="889338562">
    <w:abstractNumId w:val="28"/>
  </w:num>
  <w:num w:numId="15" w16cid:durableId="55858353">
    <w:abstractNumId w:val="22"/>
  </w:num>
  <w:num w:numId="16" w16cid:durableId="1001128480">
    <w:abstractNumId w:val="25"/>
  </w:num>
  <w:num w:numId="17" w16cid:durableId="851070962">
    <w:abstractNumId w:val="13"/>
  </w:num>
  <w:num w:numId="18" w16cid:durableId="995373776">
    <w:abstractNumId w:val="9"/>
  </w:num>
  <w:num w:numId="19" w16cid:durableId="1320769054">
    <w:abstractNumId w:val="11"/>
  </w:num>
  <w:num w:numId="20" w16cid:durableId="1746756135">
    <w:abstractNumId w:val="23"/>
  </w:num>
  <w:num w:numId="21" w16cid:durableId="1214341921">
    <w:abstractNumId w:val="31"/>
  </w:num>
  <w:num w:numId="22" w16cid:durableId="1977253075">
    <w:abstractNumId w:val="19"/>
  </w:num>
  <w:num w:numId="23" w16cid:durableId="758141153">
    <w:abstractNumId w:val="8"/>
  </w:num>
  <w:num w:numId="24" w16cid:durableId="1003704344">
    <w:abstractNumId w:val="20"/>
  </w:num>
  <w:num w:numId="25" w16cid:durableId="1142624534">
    <w:abstractNumId w:val="12"/>
  </w:num>
  <w:num w:numId="26" w16cid:durableId="2055503037">
    <w:abstractNumId w:val="17"/>
  </w:num>
  <w:num w:numId="27" w16cid:durableId="1465925040">
    <w:abstractNumId w:val="29"/>
  </w:num>
  <w:num w:numId="28" w16cid:durableId="1659067940">
    <w:abstractNumId w:val="32"/>
  </w:num>
  <w:num w:numId="29" w16cid:durableId="590553775">
    <w:abstractNumId w:val="36"/>
  </w:num>
  <w:num w:numId="30" w16cid:durableId="1522622606">
    <w:abstractNumId w:val="7"/>
  </w:num>
  <w:num w:numId="31" w16cid:durableId="989555989">
    <w:abstractNumId w:val="37"/>
  </w:num>
  <w:num w:numId="32" w16cid:durableId="308478695">
    <w:abstractNumId w:val="33"/>
  </w:num>
  <w:num w:numId="33" w16cid:durableId="2105147843">
    <w:abstractNumId w:val="21"/>
  </w:num>
  <w:num w:numId="34" w16cid:durableId="857037178">
    <w:abstractNumId w:val="27"/>
  </w:num>
  <w:num w:numId="35" w16cid:durableId="2006394261">
    <w:abstractNumId w:val="30"/>
  </w:num>
  <w:num w:numId="36" w16cid:durableId="1356955268">
    <w:abstractNumId w:val="34"/>
  </w:num>
  <w:num w:numId="37" w16cid:durableId="1823233774">
    <w:abstractNumId w:val="15"/>
  </w:num>
  <w:num w:numId="38" w16cid:durableId="63217527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1EE0"/>
    <w:rsid w:val="0000378C"/>
    <w:rsid w:val="00004F42"/>
    <w:rsid w:val="00015776"/>
    <w:rsid w:val="000213FD"/>
    <w:rsid w:val="00022D4F"/>
    <w:rsid w:val="000256C7"/>
    <w:rsid w:val="00037D18"/>
    <w:rsid w:val="00037F90"/>
    <w:rsid w:val="00040929"/>
    <w:rsid w:val="000410F3"/>
    <w:rsid w:val="0004312B"/>
    <w:rsid w:val="00061CFF"/>
    <w:rsid w:val="00063029"/>
    <w:rsid w:val="00064FEC"/>
    <w:rsid w:val="0007330E"/>
    <w:rsid w:val="0007481C"/>
    <w:rsid w:val="000827E4"/>
    <w:rsid w:val="000A194B"/>
    <w:rsid w:val="000A2561"/>
    <w:rsid w:val="000A2B64"/>
    <w:rsid w:val="000A3EBF"/>
    <w:rsid w:val="000A5366"/>
    <w:rsid w:val="000B30C9"/>
    <w:rsid w:val="000B5632"/>
    <w:rsid w:val="000C5984"/>
    <w:rsid w:val="000C7650"/>
    <w:rsid w:val="000D252D"/>
    <w:rsid w:val="000D3C04"/>
    <w:rsid w:val="000D4980"/>
    <w:rsid w:val="000E092F"/>
    <w:rsid w:val="000E1652"/>
    <w:rsid w:val="000F25C2"/>
    <w:rsid w:val="00104D73"/>
    <w:rsid w:val="00113CCD"/>
    <w:rsid w:val="00114076"/>
    <w:rsid w:val="00116799"/>
    <w:rsid w:val="001303A3"/>
    <w:rsid w:val="001320B3"/>
    <w:rsid w:val="00135494"/>
    <w:rsid w:val="001376BA"/>
    <w:rsid w:val="00141C07"/>
    <w:rsid w:val="00142130"/>
    <w:rsid w:val="00144DDC"/>
    <w:rsid w:val="0014673A"/>
    <w:rsid w:val="00153B11"/>
    <w:rsid w:val="00155D95"/>
    <w:rsid w:val="001640BB"/>
    <w:rsid w:val="0016545B"/>
    <w:rsid w:val="001954EF"/>
    <w:rsid w:val="00196404"/>
    <w:rsid w:val="0019676D"/>
    <w:rsid w:val="001B3E5D"/>
    <w:rsid w:val="001B7AB1"/>
    <w:rsid w:val="001C0A52"/>
    <w:rsid w:val="001C3413"/>
    <w:rsid w:val="001D12E4"/>
    <w:rsid w:val="001D3089"/>
    <w:rsid w:val="001D4B0E"/>
    <w:rsid w:val="001D6D09"/>
    <w:rsid w:val="001D7A20"/>
    <w:rsid w:val="001E29AF"/>
    <w:rsid w:val="001E4624"/>
    <w:rsid w:val="001E7BE3"/>
    <w:rsid w:val="001F4C2E"/>
    <w:rsid w:val="00201E90"/>
    <w:rsid w:val="00204C76"/>
    <w:rsid w:val="00207A08"/>
    <w:rsid w:val="00213447"/>
    <w:rsid w:val="0021634C"/>
    <w:rsid w:val="00216B55"/>
    <w:rsid w:val="00216DFD"/>
    <w:rsid w:val="00220CA2"/>
    <w:rsid w:val="00226960"/>
    <w:rsid w:val="00226ADF"/>
    <w:rsid w:val="00227943"/>
    <w:rsid w:val="00230571"/>
    <w:rsid w:val="00241DED"/>
    <w:rsid w:val="00243E42"/>
    <w:rsid w:val="00247302"/>
    <w:rsid w:val="00250D98"/>
    <w:rsid w:val="002513F4"/>
    <w:rsid w:val="00260A12"/>
    <w:rsid w:val="00263535"/>
    <w:rsid w:val="00267411"/>
    <w:rsid w:val="002722F4"/>
    <w:rsid w:val="002739C9"/>
    <w:rsid w:val="00280517"/>
    <w:rsid w:val="002814C4"/>
    <w:rsid w:val="002848CD"/>
    <w:rsid w:val="00285788"/>
    <w:rsid w:val="00286166"/>
    <w:rsid w:val="00296785"/>
    <w:rsid w:val="00297DA5"/>
    <w:rsid w:val="002A2956"/>
    <w:rsid w:val="002A2DAA"/>
    <w:rsid w:val="002A421E"/>
    <w:rsid w:val="002B0C4C"/>
    <w:rsid w:val="002C691B"/>
    <w:rsid w:val="002C70B5"/>
    <w:rsid w:val="002C7D49"/>
    <w:rsid w:val="002E4C67"/>
    <w:rsid w:val="002F3653"/>
    <w:rsid w:val="002F6467"/>
    <w:rsid w:val="003027B0"/>
    <w:rsid w:val="003032A9"/>
    <w:rsid w:val="00303F25"/>
    <w:rsid w:val="00304102"/>
    <w:rsid w:val="00307066"/>
    <w:rsid w:val="003107BF"/>
    <w:rsid w:val="0031417B"/>
    <w:rsid w:val="003152A1"/>
    <w:rsid w:val="0031661B"/>
    <w:rsid w:val="00317E33"/>
    <w:rsid w:val="00320BDE"/>
    <w:rsid w:val="00321A55"/>
    <w:rsid w:val="00324FD9"/>
    <w:rsid w:val="00333021"/>
    <w:rsid w:val="003344E4"/>
    <w:rsid w:val="003345BE"/>
    <w:rsid w:val="00343E0A"/>
    <w:rsid w:val="00345B73"/>
    <w:rsid w:val="00347C7C"/>
    <w:rsid w:val="00373BC1"/>
    <w:rsid w:val="00374437"/>
    <w:rsid w:val="00376ABB"/>
    <w:rsid w:val="00377EE3"/>
    <w:rsid w:val="003A1F42"/>
    <w:rsid w:val="003A2D86"/>
    <w:rsid w:val="003A4A92"/>
    <w:rsid w:val="003A538A"/>
    <w:rsid w:val="003B6967"/>
    <w:rsid w:val="003B7F6D"/>
    <w:rsid w:val="003C63DA"/>
    <w:rsid w:val="003D140C"/>
    <w:rsid w:val="003D2360"/>
    <w:rsid w:val="003D3F28"/>
    <w:rsid w:val="003D5A1F"/>
    <w:rsid w:val="003E35CD"/>
    <w:rsid w:val="003E69D3"/>
    <w:rsid w:val="003F10BF"/>
    <w:rsid w:val="00405F78"/>
    <w:rsid w:val="004120D1"/>
    <w:rsid w:val="00415081"/>
    <w:rsid w:val="00425F61"/>
    <w:rsid w:val="00433BAE"/>
    <w:rsid w:val="00434917"/>
    <w:rsid w:val="00437557"/>
    <w:rsid w:val="004419A6"/>
    <w:rsid w:val="0044206F"/>
    <w:rsid w:val="004469CC"/>
    <w:rsid w:val="00452127"/>
    <w:rsid w:val="00455CEB"/>
    <w:rsid w:val="00460316"/>
    <w:rsid w:val="00461119"/>
    <w:rsid w:val="00467064"/>
    <w:rsid w:val="00470495"/>
    <w:rsid w:val="0047219A"/>
    <w:rsid w:val="004760AC"/>
    <w:rsid w:val="004817EE"/>
    <w:rsid w:val="00486165"/>
    <w:rsid w:val="0049066E"/>
    <w:rsid w:val="004919B7"/>
    <w:rsid w:val="00492E84"/>
    <w:rsid w:val="004935A4"/>
    <w:rsid w:val="0049763D"/>
    <w:rsid w:val="004A1121"/>
    <w:rsid w:val="004C3F31"/>
    <w:rsid w:val="004C6220"/>
    <w:rsid w:val="004D7D65"/>
    <w:rsid w:val="004E0E98"/>
    <w:rsid w:val="004E6C0C"/>
    <w:rsid w:val="004E6E7E"/>
    <w:rsid w:val="004F3E9A"/>
    <w:rsid w:val="004F4EE8"/>
    <w:rsid w:val="004F73C5"/>
    <w:rsid w:val="00510354"/>
    <w:rsid w:val="005146A3"/>
    <w:rsid w:val="00522273"/>
    <w:rsid w:val="00523075"/>
    <w:rsid w:val="00526537"/>
    <w:rsid w:val="00531219"/>
    <w:rsid w:val="00531C7C"/>
    <w:rsid w:val="00532F76"/>
    <w:rsid w:val="00536A71"/>
    <w:rsid w:val="0055297F"/>
    <w:rsid w:val="0056196B"/>
    <w:rsid w:val="0056452C"/>
    <w:rsid w:val="00567917"/>
    <w:rsid w:val="005729A9"/>
    <w:rsid w:val="00574343"/>
    <w:rsid w:val="005765CA"/>
    <w:rsid w:val="00596D79"/>
    <w:rsid w:val="005A0A9C"/>
    <w:rsid w:val="005B05E3"/>
    <w:rsid w:val="005B2BA8"/>
    <w:rsid w:val="005B62EF"/>
    <w:rsid w:val="005C0144"/>
    <w:rsid w:val="005C78B7"/>
    <w:rsid w:val="005D04ED"/>
    <w:rsid w:val="005D6893"/>
    <w:rsid w:val="005D7324"/>
    <w:rsid w:val="005E5745"/>
    <w:rsid w:val="005E6CF1"/>
    <w:rsid w:val="005F15C9"/>
    <w:rsid w:val="006014D9"/>
    <w:rsid w:val="006026B7"/>
    <w:rsid w:val="00607FD4"/>
    <w:rsid w:val="00616701"/>
    <w:rsid w:val="00643D7E"/>
    <w:rsid w:val="0064670F"/>
    <w:rsid w:val="00664A0D"/>
    <w:rsid w:val="00665075"/>
    <w:rsid w:val="00665C3D"/>
    <w:rsid w:val="0068082F"/>
    <w:rsid w:val="006808F9"/>
    <w:rsid w:val="00687CE6"/>
    <w:rsid w:val="0069141B"/>
    <w:rsid w:val="00695C99"/>
    <w:rsid w:val="006A553A"/>
    <w:rsid w:val="006A5878"/>
    <w:rsid w:val="006B1A7B"/>
    <w:rsid w:val="006B1B00"/>
    <w:rsid w:val="006B3723"/>
    <w:rsid w:val="006B4BE1"/>
    <w:rsid w:val="006C6C06"/>
    <w:rsid w:val="006C7F1F"/>
    <w:rsid w:val="006D267A"/>
    <w:rsid w:val="006D50FB"/>
    <w:rsid w:val="006D5898"/>
    <w:rsid w:val="006D7FA1"/>
    <w:rsid w:val="006E4172"/>
    <w:rsid w:val="006F643D"/>
    <w:rsid w:val="007019A2"/>
    <w:rsid w:val="00701FDE"/>
    <w:rsid w:val="00710162"/>
    <w:rsid w:val="00710EED"/>
    <w:rsid w:val="0071243C"/>
    <w:rsid w:val="00715672"/>
    <w:rsid w:val="0071723F"/>
    <w:rsid w:val="007172B8"/>
    <w:rsid w:val="0072381A"/>
    <w:rsid w:val="00725B7B"/>
    <w:rsid w:val="0072719C"/>
    <w:rsid w:val="00735B4C"/>
    <w:rsid w:val="007421BD"/>
    <w:rsid w:val="007426B5"/>
    <w:rsid w:val="00750FF6"/>
    <w:rsid w:val="00752521"/>
    <w:rsid w:val="00753881"/>
    <w:rsid w:val="00756279"/>
    <w:rsid w:val="00764C37"/>
    <w:rsid w:val="00765066"/>
    <w:rsid w:val="00770B85"/>
    <w:rsid w:val="00771DAC"/>
    <w:rsid w:val="00782B20"/>
    <w:rsid w:val="007850FF"/>
    <w:rsid w:val="00785B46"/>
    <w:rsid w:val="007876BA"/>
    <w:rsid w:val="00787D34"/>
    <w:rsid w:val="007920C5"/>
    <w:rsid w:val="00793DE7"/>
    <w:rsid w:val="007949BD"/>
    <w:rsid w:val="007A0F5A"/>
    <w:rsid w:val="007B2D54"/>
    <w:rsid w:val="007B3DD1"/>
    <w:rsid w:val="007C2458"/>
    <w:rsid w:val="007C2978"/>
    <w:rsid w:val="007C2D94"/>
    <w:rsid w:val="007C381F"/>
    <w:rsid w:val="007C68C9"/>
    <w:rsid w:val="007C7CAE"/>
    <w:rsid w:val="007D3415"/>
    <w:rsid w:val="007D4158"/>
    <w:rsid w:val="007D7718"/>
    <w:rsid w:val="007E2FA5"/>
    <w:rsid w:val="00800528"/>
    <w:rsid w:val="00800A77"/>
    <w:rsid w:val="00810AB4"/>
    <w:rsid w:val="00812619"/>
    <w:rsid w:val="00817E1A"/>
    <w:rsid w:val="00832B49"/>
    <w:rsid w:val="00834C8E"/>
    <w:rsid w:val="00842DED"/>
    <w:rsid w:val="00852C8D"/>
    <w:rsid w:val="00865CA0"/>
    <w:rsid w:val="00876CAF"/>
    <w:rsid w:val="00880E19"/>
    <w:rsid w:val="00883DD3"/>
    <w:rsid w:val="0089039D"/>
    <w:rsid w:val="008B1037"/>
    <w:rsid w:val="008B263C"/>
    <w:rsid w:val="008C3DC3"/>
    <w:rsid w:val="008C4ABB"/>
    <w:rsid w:val="008C4DF7"/>
    <w:rsid w:val="008C7566"/>
    <w:rsid w:val="008D0C80"/>
    <w:rsid w:val="008D1B55"/>
    <w:rsid w:val="008D5403"/>
    <w:rsid w:val="008D616A"/>
    <w:rsid w:val="008E0371"/>
    <w:rsid w:val="008E3E83"/>
    <w:rsid w:val="008E50C2"/>
    <w:rsid w:val="008F2B73"/>
    <w:rsid w:val="008F3739"/>
    <w:rsid w:val="008F4A3E"/>
    <w:rsid w:val="008F726E"/>
    <w:rsid w:val="00904DC5"/>
    <w:rsid w:val="009115B8"/>
    <w:rsid w:val="00913B13"/>
    <w:rsid w:val="00916F8A"/>
    <w:rsid w:val="00922104"/>
    <w:rsid w:val="009404B7"/>
    <w:rsid w:val="00941AE9"/>
    <w:rsid w:val="0094292E"/>
    <w:rsid w:val="00944918"/>
    <w:rsid w:val="009464E9"/>
    <w:rsid w:val="009500B8"/>
    <w:rsid w:val="00951E05"/>
    <w:rsid w:val="0095302D"/>
    <w:rsid w:val="00980D7A"/>
    <w:rsid w:val="0098488A"/>
    <w:rsid w:val="00990F9D"/>
    <w:rsid w:val="009960D7"/>
    <w:rsid w:val="009A067A"/>
    <w:rsid w:val="009A1656"/>
    <w:rsid w:val="009A747F"/>
    <w:rsid w:val="009A7C2E"/>
    <w:rsid w:val="009B16AF"/>
    <w:rsid w:val="009B6B46"/>
    <w:rsid w:val="009C760E"/>
    <w:rsid w:val="009E06F6"/>
    <w:rsid w:val="009E1B2A"/>
    <w:rsid w:val="009E3E9D"/>
    <w:rsid w:val="009E482E"/>
    <w:rsid w:val="009E6FC0"/>
    <w:rsid w:val="009F010D"/>
    <w:rsid w:val="009F0A6F"/>
    <w:rsid w:val="009F7F21"/>
    <w:rsid w:val="00A00083"/>
    <w:rsid w:val="00A1102B"/>
    <w:rsid w:val="00A16DE4"/>
    <w:rsid w:val="00A27497"/>
    <w:rsid w:val="00A40CD5"/>
    <w:rsid w:val="00A41EBF"/>
    <w:rsid w:val="00A46A54"/>
    <w:rsid w:val="00A53A80"/>
    <w:rsid w:val="00A56E67"/>
    <w:rsid w:val="00A57C58"/>
    <w:rsid w:val="00A60252"/>
    <w:rsid w:val="00A649F2"/>
    <w:rsid w:val="00A67AE2"/>
    <w:rsid w:val="00A71F67"/>
    <w:rsid w:val="00A7413F"/>
    <w:rsid w:val="00A74EB2"/>
    <w:rsid w:val="00A770C7"/>
    <w:rsid w:val="00A80C5B"/>
    <w:rsid w:val="00A82F69"/>
    <w:rsid w:val="00A909C0"/>
    <w:rsid w:val="00A924DE"/>
    <w:rsid w:val="00AA1FC8"/>
    <w:rsid w:val="00AA3C77"/>
    <w:rsid w:val="00AA50A8"/>
    <w:rsid w:val="00AA78DC"/>
    <w:rsid w:val="00AB2269"/>
    <w:rsid w:val="00AB76C6"/>
    <w:rsid w:val="00AC05B3"/>
    <w:rsid w:val="00AC16D0"/>
    <w:rsid w:val="00AC5A5B"/>
    <w:rsid w:val="00AC6E3D"/>
    <w:rsid w:val="00AC6EF9"/>
    <w:rsid w:val="00AD2948"/>
    <w:rsid w:val="00AD38D5"/>
    <w:rsid w:val="00AF0436"/>
    <w:rsid w:val="00AF3922"/>
    <w:rsid w:val="00B00C08"/>
    <w:rsid w:val="00B03141"/>
    <w:rsid w:val="00B075A3"/>
    <w:rsid w:val="00B11C90"/>
    <w:rsid w:val="00B143BF"/>
    <w:rsid w:val="00B150D0"/>
    <w:rsid w:val="00B23507"/>
    <w:rsid w:val="00B31ABD"/>
    <w:rsid w:val="00B31F6C"/>
    <w:rsid w:val="00B351EF"/>
    <w:rsid w:val="00B405A5"/>
    <w:rsid w:val="00B45938"/>
    <w:rsid w:val="00B4786E"/>
    <w:rsid w:val="00B556FE"/>
    <w:rsid w:val="00B676E2"/>
    <w:rsid w:val="00B73890"/>
    <w:rsid w:val="00B80BBD"/>
    <w:rsid w:val="00B8433D"/>
    <w:rsid w:val="00B951CA"/>
    <w:rsid w:val="00B958AE"/>
    <w:rsid w:val="00B959C0"/>
    <w:rsid w:val="00B975B8"/>
    <w:rsid w:val="00BA562A"/>
    <w:rsid w:val="00BA5797"/>
    <w:rsid w:val="00BA636A"/>
    <w:rsid w:val="00BB38CB"/>
    <w:rsid w:val="00BB4EF9"/>
    <w:rsid w:val="00BB546F"/>
    <w:rsid w:val="00BB6795"/>
    <w:rsid w:val="00BB7E2D"/>
    <w:rsid w:val="00BC42C6"/>
    <w:rsid w:val="00BC79C8"/>
    <w:rsid w:val="00BC7D26"/>
    <w:rsid w:val="00BD49A3"/>
    <w:rsid w:val="00BE0E21"/>
    <w:rsid w:val="00BE264D"/>
    <w:rsid w:val="00BF6D27"/>
    <w:rsid w:val="00C03FAA"/>
    <w:rsid w:val="00C041C0"/>
    <w:rsid w:val="00C15404"/>
    <w:rsid w:val="00C1649E"/>
    <w:rsid w:val="00C16CB2"/>
    <w:rsid w:val="00C26D11"/>
    <w:rsid w:val="00C309EF"/>
    <w:rsid w:val="00C34659"/>
    <w:rsid w:val="00C54A93"/>
    <w:rsid w:val="00C56608"/>
    <w:rsid w:val="00C610D3"/>
    <w:rsid w:val="00C61854"/>
    <w:rsid w:val="00C760C7"/>
    <w:rsid w:val="00C76516"/>
    <w:rsid w:val="00C76FB8"/>
    <w:rsid w:val="00C82566"/>
    <w:rsid w:val="00C84840"/>
    <w:rsid w:val="00C95387"/>
    <w:rsid w:val="00C96A40"/>
    <w:rsid w:val="00C97521"/>
    <w:rsid w:val="00C97EF0"/>
    <w:rsid w:val="00CA4CEE"/>
    <w:rsid w:val="00CB2E6D"/>
    <w:rsid w:val="00CB7EB3"/>
    <w:rsid w:val="00CD0CDF"/>
    <w:rsid w:val="00CE2C84"/>
    <w:rsid w:val="00CF2DD3"/>
    <w:rsid w:val="00CF5AD3"/>
    <w:rsid w:val="00D002D7"/>
    <w:rsid w:val="00D05CEF"/>
    <w:rsid w:val="00D10BC5"/>
    <w:rsid w:val="00D146ED"/>
    <w:rsid w:val="00D15355"/>
    <w:rsid w:val="00D204C4"/>
    <w:rsid w:val="00D2696E"/>
    <w:rsid w:val="00D33502"/>
    <w:rsid w:val="00D42AD5"/>
    <w:rsid w:val="00D42CF6"/>
    <w:rsid w:val="00D62B3C"/>
    <w:rsid w:val="00D86838"/>
    <w:rsid w:val="00D90965"/>
    <w:rsid w:val="00DA1EC6"/>
    <w:rsid w:val="00DA367E"/>
    <w:rsid w:val="00DA799B"/>
    <w:rsid w:val="00DB4ADA"/>
    <w:rsid w:val="00DC23C5"/>
    <w:rsid w:val="00DC790D"/>
    <w:rsid w:val="00DE5B79"/>
    <w:rsid w:val="00DE5C1C"/>
    <w:rsid w:val="00DE7D74"/>
    <w:rsid w:val="00DF554B"/>
    <w:rsid w:val="00E26487"/>
    <w:rsid w:val="00E316B2"/>
    <w:rsid w:val="00E323B7"/>
    <w:rsid w:val="00E36A23"/>
    <w:rsid w:val="00E46385"/>
    <w:rsid w:val="00E526F0"/>
    <w:rsid w:val="00E618CC"/>
    <w:rsid w:val="00E634D3"/>
    <w:rsid w:val="00E63BD7"/>
    <w:rsid w:val="00E647A9"/>
    <w:rsid w:val="00E65ED0"/>
    <w:rsid w:val="00E66553"/>
    <w:rsid w:val="00E672AD"/>
    <w:rsid w:val="00E752A2"/>
    <w:rsid w:val="00E765F4"/>
    <w:rsid w:val="00E80A0F"/>
    <w:rsid w:val="00E83F56"/>
    <w:rsid w:val="00E87173"/>
    <w:rsid w:val="00E94C69"/>
    <w:rsid w:val="00EA2A6A"/>
    <w:rsid w:val="00EB03AF"/>
    <w:rsid w:val="00EB487A"/>
    <w:rsid w:val="00EB77BD"/>
    <w:rsid w:val="00EC1CE1"/>
    <w:rsid w:val="00EC35C2"/>
    <w:rsid w:val="00EC5100"/>
    <w:rsid w:val="00EC7CE7"/>
    <w:rsid w:val="00ED756A"/>
    <w:rsid w:val="00EE6CF0"/>
    <w:rsid w:val="00EF2464"/>
    <w:rsid w:val="00EF3FC4"/>
    <w:rsid w:val="00EF5EAC"/>
    <w:rsid w:val="00F009D7"/>
    <w:rsid w:val="00F01520"/>
    <w:rsid w:val="00F03A4E"/>
    <w:rsid w:val="00F07DA8"/>
    <w:rsid w:val="00F12BED"/>
    <w:rsid w:val="00F15BC6"/>
    <w:rsid w:val="00F15E37"/>
    <w:rsid w:val="00F2414A"/>
    <w:rsid w:val="00F24472"/>
    <w:rsid w:val="00F25473"/>
    <w:rsid w:val="00F26D86"/>
    <w:rsid w:val="00F31E51"/>
    <w:rsid w:val="00F33D4C"/>
    <w:rsid w:val="00F36E2C"/>
    <w:rsid w:val="00F41C14"/>
    <w:rsid w:val="00F426D2"/>
    <w:rsid w:val="00F42A50"/>
    <w:rsid w:val="00F5401E"/>
    <w:rsid w:val="00F6140B"/>
    <w:rsid w:val="00F66618"/>
    <w:rsid w:val="00F67BEF"/>
    <w:rsid w:val="00F67E8F"/>
    <w:rsid w:val="00F70551"/>
    <w:rsid w:val="00F81104"/>
    <w:rsid w:val="00F8595E"/>
    <w:rsid w:val="00F93263"/>
    <w:rsid w:val="00F96F9D"/>
    <w:rsid w:val="00FA13CC"/>
    <w:rsid w:val="00FB0BB0"/>
    <w:rsid w:val="00FC77D2"/>
    <w:rsid w:val="00FD2AFF"/>
    <w:rsid w:val="00FD5597"/>
    <w:rsid w:val="00FD6B5D"/>
    <w:rsid w:val="00FD6E4E"/>
    <w:rsid w:val="00FD7915"/>
    <w:rsid w:val="00FE746D"/>
    <w:rsid w:val="00FE7DD0"/>
    <w:rsid w:val="00FF05D8"/>
    <w:rsid w:val="00FF12AC"/>
    <w:rsid w:val="00FF72B5"/>
    <w:rsid w:val="04633A1B"/>
    <w:rsid w:val="05666B38"/>
    <w:rsid w:val="07A8AE86"/>
    <w:rsid w:val="0E82FCE8"/>
    <w:rsid w:val="0EA3E20E"/>
    <w:rsid w:val="12FC02AD"/>
    <w:rsid w:val="1440D267"/>
    <w:rsid w:val="14ABC8CC"/>
    <w:rsid w:val="17BE1F98"/>
    <w:rsid w:val="1A2B2371"/>
    <w:rsid w:val="1C459220"/>
    <w:rsid w:val="222C71A8"/>
    <w:rsid w:val="2ABED3CB"/>
    <w:rsid w:val="2AF09229"/>
    <w:rsid w:val="30CEB78D"/>
    <w:rsid w:val="31F6F681"/>
    <w:rsid w:val="342E4CF5"/>
    <w:rsid w:val="3A29FD30"/>
    <w:rsid w:val="401AB80F"/>
    <w:rsid w:val="44694780"/>
    <w:rsid w:val="44B6CA07"/>
    <w:rsid w:val="4E98D185"/>
    <w:rsid w:val="52474309"/>
    <w:rsid w:val="54134FFA"/>
    <w:rsid w:val="5CF8A154"/>
    <w:rsid w:val="6080BA6F"/>
    <w:rsid w:val="60D22ECA"/>
    <w:rsid w:val="69DE03C9"/>
    <w:rsid w:val="6D85F850"/>
    <w:rsid w:val="6FA231AA"/>
    <w:rsid w:val="7124EA39"/>
    <w:rsid w:val="712DCF55"/>
    <w:rsid w:val="731DD1E3"/>
    <w:rsid w:val="7C7AC6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A02C90BC-DBA4-429B-886B-A54D418AB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FF0EB0-D457-456C-B0D9-A2148D1CB5FE}">
  <ds:schemaRefs>
    <ds:schemaRef ds:uri="http://schemas.microsoft.com/sharepoint/v3/contenttype/forms"/>
  </ds:schemaRefs>
</ds:datastoreItem>
</file>

<file path=customXml/itemProps2.xml><?xml version="1.0" encoding="utf-8"?>
<ds:datastoreItem xmlns:ds="http://schemas.openxmlformats.org/officeDocument/2006/customXml" ds:itemID="{4ECCC2E8-4233-47DC-B761-DFC4DA38112C}">
  <ds:schemaRefs>
    <ds:schemaRef ds:uri="http://www.w3.org/XML/1998/namespace"/>
    <ds:schemaRef ds:uri="http://purl.org/dc/elements/1.1/"/>
    <ds:schemaRef ds:uri="http://purl.org/dc/terms/"/>
    <ds:schemaRef ds:uri="http://purl.org/dc/dcmitype/"/>
    <ds:schemaRef ds:uri="1d122eec-3bb3-4fc2-82b5-17eb52940d3b"/>
    <ds:schemaRef ds:uri="http://schemas.microsoft.com/office/infopath/2007/PartnerControls"/>
    <ds:schemaRef ds:uri="e51413fb-b6f8-4f29-abc2-eb20455e809e"/>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0A9FA64-1B36-4010-8646-30CA0C2FE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6</Pages>
  <Words>2487</Words>
  <Characters>13425</Characters>
  <Application>Microsoft Office Word</Application>
  <DocSecurity>0</DocSecurity>
  <Lines>111</Lines>
  <Paragraphs>31</Paragraphs>
  <ScaleCrop>false</ScaleCrop>
  <Company>ETSI</Company>
  <LinksUpToDate>false</LinksUpToDate>
  <CharactersWithSpaces>15881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Ville Vintola</cp:lastModifiedBy>
  <cp:revision>417</cp:revision>
  <dcterms:created xsi:type="dcterms:W3CDTF">2025-09-03T14:45:00Z</dcterms:created>
  <dcterms:modified xsi:type="dcterms:W3CDTF">2025-09-29T23:00:00Z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